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9C663" w14:textId="77777777" w:rsidR="001471BF" w:rsidRPr="00D4412E" w:rsidRDefault="00000000">
      <w:pPr>
        <w:pBdr>
          <w:top w:val="nil"/>
          <w:left w:val="nil"/>
          <w:bottom w:val="nil"/>
          <w:right w:val="nil"/>
          <w:between w:val="nil"/>
        </w:pBdr>
        <w:spacing w:line="240" w:lineRule="auto"/>
        <w:ind w:left="0" w:hanging="2"/>
        <w:jc w:val="both"/>
        <w:rPr>
          <w:rFonts w:ascii="Arial" w:eastAsia="Arial" w:hAnsi="Arial" w:cs="Arial"/>
          <w:color w:val="000000" w:themeColor="text1"/>
          <w:sz w:val="18"/>
          <w:szCs w:val="18"/>
        </w:rPr>
      </w:pPr>
      <w:r w:rsidRPr="00D4412E">
        <w:rPr>
          <w:rFonts w:ascii="Arial" w:eastAsia="Arial" w:hAnsi="Arial" w:cs="Arial"/>
          <w:b/>
          <w:color w:val="000000" w:themeColor="text1"/>
          <w:sz w:val="24"/>
          <w:szCs w:val="24"/>
        </w:rPr>
        <w:t>Section 1 - Contact details</w:t>
      </w:r>
    </w:p>
    <w:tbl>
      <w:tblPr>
        <w:tblStyle w:val="a"/>
        <w:tblW w:w="1062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87"/>
        <w:gridCol w:w="7535"/>
        <w:gridCol w:w="706"/>
      </w:tblGrid>
      <w:tr w:rsidR="001471BF" w14:paraId="4C843363" w14:textId="77777777">
        <w:trPr>
          <w:cantSplit/>
          <w:trHeight w:val="447"/>
        </w:trPr>
        <w:tc>
          <w:tcPr>
            <w:tcW w:w="2387" w:type="dxa"/>
          </w:tcPr>
          <w:p w14:paraId="07EC8FA6" w14:textId="77777777" w:rsidR="001471BF" w:rsidRDefault="00000000">
            <w:pPr>
              <w:pBdr>
                <w:top w:val="nil"/>
                <w:left w:val="nil"/>
                <w:bottom w:val="nil"/>
                <w:right w:val="nil"/>
                <w:between w:val="nil"/>
              </w:pBdr>
              <w:spacing w:line="240" w:lineRule="auto"/>
              <w:ind w:left="0" w:hanging="2"/>
              <w:jc w:val="both"/>
              <w:rPr>
                <w:rFonts w:ascii="Arial" w:eastAsia="Arial" w:hAnsi="Arial" w:cs="Arial"/>
                <w:color w:val="000000"/>
                <w:sz w:val="20"/>
                <w:szCs w:val="20"/>
                <w:u w:val="single"/>
              </w:rPr>
            </w:pPr>
            <w:r>
              <w:rPr>
                <w:rFonts w:ascii="Arial" w:eastAsia="Arial" w:hAnsi="Arial" w:cs="Arial"/>
                <w:b/>
                <w:color w:val="000000"/>
                <w:sz w:val="20"/>
                <w:szCs w:val="20"/>
                <w:u w:val="single"/>
              </w:rPr>
              <w:t xml:space="preserve">Organisation Name </w:t>
            </w:r>
          </w:p>
          <w:p w14:paraId="194F88F5" w14:textId="77777777" w:rsidR="001471BF" w:rsidRDefault="00000000">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(full name)</w:t>
            </w:r>
          </w:p>
        </w:tc>
        <w:tc>
          <w:tcPr>
            <w:tcW w:w="7536" w:type="dxa"/>
            <w:tcBorders>
              <w:right w:val="single" w:sz="4" w:space="0" w:color="000000"/>
            </w:tcBorders>
          </w:tcPr>
          <w:p w14:paraId="1B45D495" w14:textId="77777777" w:rsidR="001471BF" w:rsidRDefault="006E71EC">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 xml:space="preserve">Siena Brain Investigation and Neuromodulation Lab (SIBINLAB) - University of Siena </w:t>
            </w:r>
          </w:p>
        </w:tc>
        <w:tc>
          <w:tcPr>
            <w:tcW w:w="706" w:type="dxa"/>
            <w:tcBorders>
              <w:top w:val="nil"/>
              <w:left w:val="single" w:sz="4" w:space="0" w:color="000000"/>
              <w:bottom w:val="nil"/>
              <w:right w:val="single" w:sz="4" w:space="0" w:color="000000"/>
            </w:tcBorders>
          </w:tcPr>
          <w:p w14:paraId="60F906BC" w14:textId="77777777" w:rsidR="001471BF" w:rsidRDefault="001471BF">
            <w:pPr>
              <w:pBdr>
                <w:top w:val="nil"/>
                <w:left w:val="nil"/>
                <w:bottom w:val="nil"/>
                <w:right w:val="nil"/>
                <w:between w:val="nil"/>
              </w:pBdr>
              <w:spacing w:line="240" w:lineRule="auto"/>
              <w:ind w:left="0" w:hanging="2"/>
              <w:jc w:val="both"/>
              <w:rPr>
                <w:rFonts w:ascii="Arial" w:eastAsia="Arial" w:hAnsi="Arial" w:cs="Arial"/>
                <w:color w:val="000000"/>
                <w:sz w:val="20"/>
                <w:szCs w:val="20"/>
              </w:rPr>
            </w:pPr>
          </w:p>
        </w:tc>
      </w:tr>
      <w:tr w:rsidR="001471BF" w14:paraId="2E206C22" w14:textId="77777777">
        <w:trPr>
          <w:trHeight w:val="381"/>
        </w:trPr>
        <w:tc>
          <w:tcPr>
            <w:tcW w:w="2387" w:type="dxa"/>
          </w:tcPr>
          <w:p w14:paraId="06B435AF" w14:textId="77777777" w:rsidR="001471BF" w:rsidRDefault="00000000">
            <w:pPr>
              <w:pBdr>
                <w:top w:val="nil"/>
                <w:left w:val="nil"/>
                <w:bottom w:val="nil"/>
                <w:right w:val="nil"/>
                <w:between w:val="nil"/>
              </w:pBdr>
              <w:spacing w:line="240" w:lineRule="auto"/>
              <w:ind w:left="0" w:hanging="2"/>
              <w:rPr>
                <w:rFonts w:ascii="Arial" w:eastAsia="Arial" w:hAnsi="Arial" w:cs="Arial"/>
                <w:color w:val="000000"/>
                <w:sz w:val="20"/>
                <w:szCs w:val="20"/>
              </w:rPr>
            </w:pPr>
            <w:r>
              <w:rPr>
                <w:rFonts w:ascii="Arial" w:eastAsia="Arial" w:hAnsi="Arial" w:cs="Arial"/>
                <w:b/>
                <w:color w:val="000000"/>
                <w:sz w:val="20"/>
                <w:szCs w:val="20"/>
              </w:rPr>
              <w:t>Type of organisation</w:t>
            </w:r>
          </w:p>
        </w:tc>
        <w:tc>
          <w:tcPr>
            <w:tcW w:w="7536" w:type="dxa"/>
            <w:tcBorders>
              <w:right w:val="single" w:sz="4" w:space="0" w:color="000000"/>
            </w:tcBorders>
          </w:tcPr>
          <w:p w14:paraId="4A7C3073" w14:textId="77777777" w:rsidR="001471BF" w:rsidRDefault="0049026C">
            <w:pPr>
              <w:pBdr>
                <w:top w:val="nil"/>
                <w:left w:val="nil"/>
                <w:bottom w:val="nil"/>
                <w:right w:val="nil"/>
                <w:between w:val="nil"/>
              </w:pBdr>
              <w:spacing w:line="240" w:lineRule="auto"/>
              <w:ind w:left="0" w:hanging="2"/>
              <w:rPr>
                <w:rFonts w:ascii="Arial" w:eastAsia="Arial" w:hAnsi="Arial" w:cs="Arial"/>
                <w:color w:val="000000"/>
                <w:sz w:val="20"/>
                <w:szCs w:val="20"/>
              </w:rPr>
            </w:pPr>
            <w:r>
              <w:rPr>
                <w:rFonts w:ascii="Arial" w:eastAsia="Arial" w:hAnsi="Arial" w:cs="Arial"/>
                <w:color w:val="000000"/>
              </w:rPr>
              <w:t>x University</w:t>
            </w:r>
          </w:p>
          <w:p w14:paraId="195B7642" w14:textId="77777777" w:rsidR="001471BF" w:rsidRDefault="00000000">
            <w:pPr>
              <w:pBdr>
                <w:top w:val="nil"/>
                <w:left w:val="nil"/>
                <w:bottom w:val="nil"/>
                <w:right w:val="nil"/>
                <w:between w:val="nil"/>
              </w:pBdr>
              <w:spacing w:line="240" w:lineRule="auto"/>
              <w:ind w:left="0" w:hanging="2"/>
              <w:rPr>
                <w:rFonts w:ascii="Arial" w:eastAsia="Arial" w:hAnsi="Arial" w:cs="Arial"/>
                <w:color w:val="000000"/>
              </w:rPr>
            </w:pPr>
            <w:bookmarkStart w:id="0" w:name="bookmark=id.gjdgxs" w:colFirst="0" w:colLast="0"/>
            <w:bookmarkEnd w:id="0"/>
            <w:r>
              <w:rPr>
                <w:rFonts w:ascii="Arial" w:eastAsia="Arial" w:hAnsi="Arial" w:cs="Arial"/>
                <w:color w:val="000000"/>
              </w:rPr>
              <w:t>☐ Public Research Centre</w:t>
            </w:r>
          </w:p>
          <w:p w14:paraId="64D48A95" w14:textId="77777777" w:rsidR="001471BF" w:rsidRDefault="00000000">
            <w:p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rPr>
              <w:t>☐ Large Scale Enterprise</w:t>
            </w:r>
          </w:p>
          <w:p w14:paraId="48D55058" w14:textId="77777777" w:rsidR="001471BF" w:rsidRDefault="00000000">
            <w:pPr>
              <w:pBdr>
                <w:top w:val="nil"/>
                <w:left w:val="nil"/>
                <w:bottom w:val="nil"/>
                <w:right w:val="nil"/>
                <w:between w:val="nil"/>
              </w:pBdr>
              <w:spacing w:line="240" w:lineRule="auto"/>
              <w:ind w:left="0" w:hanging="2"/>
              <w:jc w:val="both"/>
              <w:rPr>
                <w:rFonts w:ascii="Arial" w:eastAsia="Arial" w:hAnsi="Arial" w:cs="Arial"/>
                <w:color w:val="000000"/>
              </w:rPr>
            </w:pPr>
            <w:r>
              <w:rPr>
                <w:rFonts w:ascii="Arial" w:eastAsia="Arial" w:hAnsi="Arial" w:cs="Arial"/>
                <w:color w:val="000000"/>
              </w:rPr>
              <w:t>☐ Small and Medium Scale Enterprise</w:t>
            </w:r>
          </w:p>
          <w:p w14:paraId="3A780E1F" w14:textId="77777777" w:rsidR="001471BF" w:rsidRDefault="00000000">
            <w:pPr>
              <w:pBdr>
                <w:top w:val="nil"/>
                <w:left w:val="nil"/>
                <w:bottom w:val="nil"/>
                <w:right w:val="nil"/>
                <w:between w:val="nil"/>
              </w:pBdr>
              <w:spacing w:line="240" w:lineRule="auto"/>
              <w:ind w:left="0" w:hanging="2"/>
              <w:rPr>
                <w:rFonts w:ascii="Arial" w:eastAsia="Arial" w:hAnsi="Arial" w:cs="Arial"/>
                <w:color w:val="000000"/>
                <w:sz w:val="20"/>
                <w:szCs w:val="20"/>
              </w:rPr>
            </w:pPr>
            <w:r>
              <w:rPr>
                <w:rFonts w:ascii="Arial" w:eastAsia="Arial" w:hAnsi="Arial" w:cs="Arial"/>
                <w:color w:val="000000"/>
              </w:rPr>
              <w:t>☐ Public Body</w:t>
            </w:r>
          </w:p>
          <w:p w14:paraId="2AC2800C" w14:textId="77777777" w:rsidR="001471BF" w:rsidRDefault="00000000">
            <w:pPr>
              <w:pBdr>
                <w:top w:val="nil"/>
                <w:left w:val="nil"/>
                <w:bottom w:val="nil"/>
                <w:right w:val="nil"/>
                <w:between w:val="nil"/>
              </w:pBdr>
              <w:spacing w:line="240" w:lineRule="auto"/>
              <w:ind w:left="0" w:hanging="2"/>
              <w:rPr>
                <w:rFonts w:ascii="Arial" w:eastAsia="Arial" w:hAnsi="Arial" w:cs="Arial"/>
                <w:color w:val="000000"/>
              </w:rPr>
            </w:pPr>
            <w:r>
              <w:rPr>
                <w:rFonts w:ascii="Arial" w:eastAsia="Arial" w:hAnsi="Arial" w:cs="Arial"/>
                <w:color w:val="000000"/>
              </w:rPr>
              <w:t>☐ International NGO</w:t>
            </w:r>
          </w:p>
          <w:p w14:paraId="02B71C76" w14:textId="77777777" w:rsidR="001471BF" w:rsidRDefault="00000000">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color w:val="000000"/>
              </w:rPr>
              <w:t>☐ National NGO</w:t>
            </w:r>
          </w:p>
        </w:tc>
        <w:tc>
          <w:tcPr>
            <w:tcW w:w="706" w:type="dxa"/>
            <w:tcBorders>
              <w:top w:val="nil"/>
              <w:left w:val="single" w:sz="4" w:space="0" w:color="000000"/>
              <w:bottom w:val="nil"/>
              <w:right w:val="single" w:sz="4" w:space="0" w:color="000000"/>
            </w:tcBorders>
          </w:tcPr>
          <w:p w14:paraId="45CB9503" w14:textId="77777777" w:rsidR="001471BF" w:rsidRDefault="001471BF">
            <w:pPr>
              <w:pBdr>
                <w:top w:val="nil"/>
                <w:left w:val="nil"/>
                <w:bottom w:val="nil"/>
                <w:right w:val="nil"/>
                <w:between w:val="nil"/>
              </w:pBdr>
              <w:spacing w:line="240" w:lineRule="auto"/>
              <w:ind w:left="0" w:hanging="2"/>
              <w:jc w:val="both"/>
              <w:rPr>
                <w:rFonts w:ascii="Arial" w:eastAsia="Arial" w:hAnsi="Arial" w:cs="Arial"/>
                <w:color w:val="000000"/>
                <w:sz w:val="20"/>
                <w:szCs w:val="20"/>
              </w:rPr>
            </w:pPr>
          </w:p>
        </w:tc>
      </w:tr>
      <w:tr w:rsidR="001471BF" w14:paraId="2F38CD66" w14:textId="77777777">
        <w:trPr>
          <w:trHeight w:val="196"/>
        </w:trPr>
        <w:tc>
          <w:tcPr>
            <w:tcW w:w="2387" w:type="dxa"/>
          </w:tcPr>
          <w:p w14:paraId="2CE12F3E" w14:textId="77777777" w:rsidR="001471BF" w:rsidRDefault="00000000">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b/>
                <w:color w:val="000000"/>
                <w:sz w:val="20"/>
                <w:szCs w:val="20"/>
              </w:rPr>
              <w:t>City</w:t>
            </w:r>
          </w:p>
        </w:tc>
        <w:tc>
          <w:tcPr>
            <w:tcW w:w="7536" w:type="dxa"/>
            <w:tcBorders>
              <w:right w:val="single" w:sz="4" w:space="0" w:color="000000"/>
            </w:tcBorders>
          </w:tcPr>
          <w:p w14:paraId="55DE1DA9" w14:textId="77777777" w:rsidR="001471BF" w:rsidRDefault="0049026C">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Siena</w:t>
            </w:r>
          </w:p>
        </w:tc>
        <w:tc>
          <w:tcPr>
            <w:tcW w:w="706" w:type="dxa"/>
            <w:tcBorders>
              <w:top w:val="nil"/>
              <w:left w:val="single" w:sz="4" w:space="0" w:color="000000"/>
              <w:bottom w:val="nil"/>
              <w:right w:val="single" w:sz="4" w:space="0" w:color="000000"/>
            </w:tcBorders>
          </w:tcPr>
          <w:p w14:paraId="4524C8D1" w14:textId="77777777" w:rsidR="001471BF" w:rsidRDefault="001471BF">
            <w:pPr>
              <w:pBdr>
                <w:top w:val="nil"/>
                <w:left w:val="nil"/>
                <w:bottom w:val="nil"/>
                <w:right w:val="nil"/>
                <w:between w:val="nil"/>
              </w:pBdr>
              <w:spacing w:line="240" w:lineRule="auto"/>
              <w:ind w:left="0" w:hanging="2"/>
              <w:jc w:val="both"/>
              <w:rPr>
                <w:rFonts w:ascii="Arial" w:eastAsia="Arial" w:hAnsi="Arial" w:cs="Arial"/>
                <w:color w:val="000000"/>
                <w:sz w:val="20"/>
                <w:szCs w:val="20"/>
              </w:rPr>
            </w:pPr>
          </w:p>
        </w:tc>
      </w:tr>
      <w:tr w:rsidR="001471BF" w14:paraId="12058B5A" w14:textId="77777777">
        <w:trPr>
          <w:trHeight w:val="149"/>
        </w:trPr>
        <w:tc>
          <w:tcPr>
            <w:tcW w:w="2387" w:type="dxa"/>
          </w:tcPr>
          <w:p w14:paraId="312C82DE" w14:textId="77777777" w:rsidR="001471BF" w:rsidRDefault="00000000">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b/>
                <w:color w:val="000000"/>
                <w:sz w:val="20"/>
                <w:szCs w:val="20"/>
              </w:rPr>
              <w:t xml:space="preserve">Country </w:t>
            </w:r>
          </w:p>
        </w:tc>
        <w:tc>
          <w:tcPr>
            <w:tcW w:w="7536" w:type="dxa"/>
            <w:tcBorders>
              <w:right w:val="single" w:sz="4" w:space="0" w:color="000000"/>
            </w:tcBorders>
          </w:tcPr>
          <w:p w14:paraId="13A55D10" w14:textId="77777777" w:rsidR="001471BF" w:rsidRDefault="0049026C">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Italy</w:t>
            </w:r>
          </w:p>
        </w:tc>
        <w:tc>
          <w:tcPr>
            <w:tcW w:w="706" w:type="dxa"/>
            <w:tcBorders>
              <w:top w:val="nil"/>
              <w:left w:val="single" w:sz="4" w:space="0" w:color="000000"/>
              <w:bottom w:val="nil"/>
              <w:right w:val="single" w:sz="4" w:space="0" w:color="000000"/>
            </w:tcBorders>
          </w:tcPr>
          <w:p w14:paraId="49EFDD31" w14:textId="77777777" w:rsidR="001471BF" w:rsidRDefault="001471BF">
            <w:pPr>
              <w:pBdr>
                <w:top w:val="nil"/>
                <w:left w:val="nil"/>
                <w:bottom w:val="nil"/>
                <w:right w:val="nil"/>
                <w:between w:val="nil"/>
              </w:pBdr>
              <w:spacing w:line="240" w:lineRule="auto"/>
              <w:ind w:left="0" w:hanging="2"/>
              <w:jc w:val="both"/>
              <w:rPr>
                <w:rFonts w:ascii="Arial" w:eastAsia="Arial" w:hAnsi="Arial" w:cs="Arial"/>
                <w:color w:val="000000"/>
                <w:sz w:val="20"/>
                <w:szCs w:val="20"/>
              </w:rPr>
            </w:pPr>
          </w:p>
        </w:tc>
      </w:tr>
      <w:tr w:rsidR="001471BF" w14:paraId="57C105E0" w14:textId="77777777">
        <w:trPr>
          <w:trHeight w:val="200"/>
        </w:trPr>
        <w:tc>
          <w:tcPr>
            <w:tcW w:w="2387" w:type="dxa"/>
          </w:tcPr>
          <w:p w14:paraId="79BFBA68" w14:textId="77777777" w:rsidR="001471BF" w:rsidRDefault="00000000">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b/>
                <w:color w:val="000000"/>
                <w:sz w:val="20"/>
                <w:szCs w:val="20"/>
              </w:rPr>
              <w:t>www address</w:t>
            </w:r>
          </w:p>
        </w:tc>
        <w:tc>
          <w:tcPr>
            <w:tcW w:w="7536" w:type="dxa"/>
            <w:tcBorders>
              <w:right w:val="single" w:sz="4" w:space="0" w:color="000000"/>
            </w:tcBorders>
          </w:tcPr>
          <w:p w14:paraId="4B5F2942" w14:textId="77777777" w:rsidR="001471BF" w:rsidRDefault="0049026C">
            <w:pPr>
              <w:pBdr>
                <w:top w:val="nil"/>
                <w:left w:val="nil"/>
                <w:bottom w:val="nil"/>
                <w:right w:val="nil"/>
                <w:between w:val="nil"/>
              </w:pBdr>
              <w:spacing w:line="240" w:lineRule="auto"/>
              <w:ind w:left="0" w:hanging="2"/>
              <w:jc w:val="both"/>
              <w:rPr>
                <w:rFonts w:ascii="Arial" w:eastAsia="Arial" w:hAnsi="Arial" w:cs="Arial"/>
                <w:color w:val="000000"/>
                <w:sz w:val="20"/>
                <w:szCs w:val="20"/>
              </w:rPr>
            </w:pPr>
            <w:r w:rsidRPr="0049026C">
              <w:rPr>
                <w:rFonts w:ascii="Arial" w:eastAsia="Arial" w:hAnsi="Arial" w:cs="Arial"/>
                <w:color w:val="000000"/>
                <w:sz w:val="20"/>
                <w:szCs w:val="20"/>
              </w:rPr>
              <w:t>https://www.unisi.it/</w:t>
            </w:r>
          </w:p>
        </w:tc>
        <w:tc>
          <w:tcPr>
            <w:tcW w:w="706" w:type="dxa"/>
            <w:tcBorders>
              <w:top w:val="nil"/>
              <w:left w:val="single" w:sz="4" w:space="0" w:color="000000"/>
              <w:bottom w:val="nil"/>
              <w:right w:val="single" w:sz="4" w:space="0" w:color="000000"/>
            </w:tcBorders>
          </w:tcPr>
          <w:p w14:paraId="1CBE9E06" w14:textId="77777777" w:rsidR="001471BF" w:rsidRDefault="001471BF">
            <w:pPr>
              <w:pBdr>
                <w:top w:val="nil"/>
                <w:left w:val="nil"/>
                <w:bottom w:val="nil"/>
                <w:right w:val="nil"/>
                <w:between w:val="nil"/>
              </w:pBdr>
              <w:spacing w:line="240" w:lineRule="auto"/>
              <w:ind w:left="0" w:hanging="2"/>
              <w:jc w:val="both"/>
              <w:rPr>
                <w:rFonts w:ascii="Arial" w:eastAsia="Arial" w:hAnsi="Arial" w:cs="Arial"/>
                <w:color w:val="000000"/>
                <w:sz w:val="20"/>
                <w:szCs w:val="20"/>
              </w:rPr>
            </w:pPr>
          </w:p>
        </w:tc>
      </w:tr>
      <w:tr w:rsidR="001471BF" w14:paraId="3C1FC328" w14:textId="77777777">
        <w:trPr>
          <w:trHeight w:val="298"/>
        </w:trPr>
        <w:tc>
          <w:tcPr>
            <w:tcW w:w="2387" w:type="dxa"/>
          </w:tcPr>
          <w:p w14:paraId="230B36F9" w14:textId="77777777" w:rsidR="001471BF" w:rsidRDefault="00000000">
            <w:pPr>
              <w:pBdr>
                <w:top w:val="nil"/>
                <w:left w:val="nil"/>
                <w:bottom w:val="nil"/>
                <w:right w:val="nil"/>
                <w:between w:val="nil"/>
              </w:pBdr>
              <w:spacing w:line="240" w:lineRule="auto"/>
              <w:ind w:left="0" w:hanging="2"/>
              <w:jc w:val="both"/>
              <w:rPr>
                <w:rFonts w:ascii="Arial" w:eastAsia="Arial" w:hAnsi="Arial" w:cs="Arial"/>
                <w:color w:val="000000"/>
                <w:sz w:val="20"/>
                <w:szCs w:val="20"/>
                <w:u w:val="single"/>
              </w:rPr>
            </w:pPr>
            <w:r>
              <w:rPr>
                <w:rFonts w:ascii="Arial" w:eastAsia="Arial" w:hAnsi="Arial" w:cs="Arial"/>
                <w:b/>
                <w:color w:val="000000"/>
                <w:sz w:val="20"/>
                <w:szCs w:val="20"/>
                <w:u w:val="single"/>
              </w:rPr>
              <w:t>Contact person</w:t>
            </w:r>
          </w:p>
          <w:p w14:paraId="0048A4B6" w14:textId="77777777" w:rsidR="001471BF" w:rsidRDefault="00000000">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b/>
                <w:color w:val="000000"/>
                <w:sz w:val="20"/>
                <w:szCs w:val="20"/>
              </w:rPr>
              <w:t>(name and surname)</w:t>
            </w:r>
          </w:p>
        </w:tc>
        <w:tc>
          <w:tcPr>
            <w:tcW w:w="7536" w:type="dxa"/>
            <w:tcBorders>
              <w:right w:val="single" w:sz="4" w:space="0" w:color="000000"/>
            </w:tcBorders>
          </w:tcPr>
          <w:p w14:paraId="7DE37AB5" w14:textId="77777777" w:rsidR="001471BF" w:rsidRDefault="0049026C">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Simone Rossi</w:t>
            </w:r>
          </w:p>
        </w:tc>
        <w:tc>
          <w:tcPr>
            <w:tcW w:w="706" w:type="dxa"/>
            <w:tcBorders>
              <w:top w:val="nil"/>
              <w:left w:val="single" w:sz="4" w:space="0" w:color="000000"/>
              <w:bottom w:val="nil"/>
              <w:right w:val="single" w:sz="4" w:space="0" w:color="000000"/>
            </w:tcBorders>
          </w:tcPr>
          <w:p w14:paraId="1AE7727C" w14:textId="77777777" w:rsidR="001471BF" w:rsidRDefault="001471BF">
            <w:pPr>
              <w:pBdr>
                <w:top w:val="nil"/>
                <w:left w:val="nil"/>
                <w:bottom w:val="nil"/>
                <w:right w:val="nil"/>
                <w:between w:val="nil"/>
              </w:pBdr>
              <w:spacing w:line="240" w:lineRule="auto"/>
              <w:ind w:left="0" w:hanging="2"/>
              <w:jc w:val="both"/>
              <w:rPr>
                <w:rFonts w:ascii="Arial" w:eastAsia="Arial" w:hAnsi="Arial" w:cs="Arial"/>
                <w:color w:val="000000"/>
                <w:sz w:val="20"/>
                <w:szCs w:val="20"/>
              </w:rPr>
            </w:pPr>
          </w:p>
        </w:tc>
      </w:tr>
      <w:tr w:rsidR="001471BF" w14:paraId="5A43BC03" w14:textId="77777777">
        <w:trPr>
          <w:trHeight w:val="159"/>
        </w:trPr>
        <w:tc>
          <w:tcPr>
            <w:tcW w:w="2387" w:type="dxa"/>
          </w:tcPr>
          <w:p w14:paraId="298EB3A5" w14:textId="77777777" w:rsidR="001471BF" w:rsidRDefault="00000000">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b/>
                <w:color w:val="000000"/>
                <w:sz w:val="20"/>
                <w:szCs w:val="20"/>
              </w:rPr>
              <w:t xml:space="preserve">Telephone </w:t>
            </w:r>
          </w:p>
        </w:tc>
        <w:tc>
          <w:tcPr>
            <w:tcW w:w="7536" w:type="dxa"/>
            <w:tcBorders>
              <w:right w:val="single" w:sz="4" w:space="0" w:color="000000"/>
            </w:tcBorders>
          </w:tcPr>
          <w:p w14:paraId="628E79CF" w14:textId="4CB81109" w:rsidR="001471BF" w:rsidRDefault="00FA4C4B">
            <w:pPr>
              <w:pBdr>
                <w:top w:val="nil"/>
                <w:left w:val="nil"/>
                <w:bottom w:val="nil"/>
                <w:right w:val="nil"/>
                <w:between w:val="nil"/>
              </w:pBdr>
              <w:spacing w:line="240" w:lineRule="auto"/>
              <w:ind w:left="0" w:hanging="2"/>
              <w:jc w:val="both"/>
              <w:rPr>
                <w:rFonts w:ascii="Arial" w:eastAsia="Arial" w:hAnsi="Arial" w:cs="Arial"/>
                <w:color w:val="000000"/>
                <w:sz w:val="20"/>
                <w:szCs w:val="20"/>
              </w:rPr>
            </w:pPr>
            <w:r w:rsidRPr="00FA4C4B">
              <w:rPr>
                <w:rFonts w:ascii="Arial" w:eastAsia="Arial" w:hAnsi="Arial" w:cs="Arial"/>
                <w:b/>
                <w:bCs/>
                <w:color w:val="000000"/>
                <w:sz w:val="20"/>
                <w:szCs w:val="20"/>
              </w:rPr>
              <w:t>0577233321</w:t>
            </w:r>
          </w:p>
        </w:tc>
        <w:tc>
          <w:tcPr>
            <w:tcW w:w="706" w:type="dxa"/>
            <w:tcBorders>
              <w:top w:val="nil"/>
              <w:left w:val="single" w:sz="4" w:space="0" w:color="000000"/>
              <w:bottom w:val="nil"/>
              <w:right w:val="single" w:sz="4" w:space="0" w:color="000000"/>
            </w:tcBorders>
          </w:tcPr>
          <w:p w14:paraId="0EE3F53C" w14:textId="77777777" w:rsidR="001471BF" w:rsidRDefault="001471BF">
            <w:pPr>
              <w:pBdr>
                <w:top w:val="nil"/>
                <w:left w:val="nil"/>
                <w:bottom w:val="nil"/>
                <w:right w:val="nil"/>
                <w:between w:val="nil"/>
              </w:pBdr>
              <w:spacing w:line="240" w:lineRule="auto"/>
              <w:ind w:left="0" w:hanging="2"/>
              <w:jc w:val="both"/>
              <w:rPr>
                <w:rFonts w:ascii="Arial" w:eastAsia="Arial" w:hAnsi="Arial" w:cs="Arial"/>
                <w:color w:val="000000"/>
                <w:sz w:val="20"/>
                <w:szCs w:val="20"/>
              </w:rPr>
            </w:pPr>
          </w:p>
        </w:tc>
      </w:tr>
      <w:tr w:rsidR="001471BF" w14:paraId="67C341AF" w14:textId="77777777">
        <w:trPr>
          <w:trHeight w:val="159"/>
        </w:trPr>
        <w:tc>
          <w:tcPr>
            <w:tcW w:w="2387" w:type="dxa"/>
          </w:tcPr>
          <w:p w14:paraId="7390A849" w14:textId="77777777" w:rsidR="001471BF" w:rsidRDefault="00000000">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b/>
                <w:color w:val="000000"/>
                <w:sz w:val="20"/>
                <w:szCs w:val="20"/>
              </w:rPr>
              <w:t xml:space="preserve">Email </w:t>
            </w:r>
          </w:p>
        </w:tc>
        <w:tc>
          <w:tcPr>
            <w:tcW w:w="7536" w:type="dxa"/>
            <w:tcBorders>
              <w:right w:val="single" w:sz="4" w:space="0" w:color="000000"/>
            </w:tcBorders>
          </w:tcPr>
          <w:p w14:paraId="0F94F9A0" w14:textId="77777777" w:rsidR="001471BF" w:rsidRDefault="0049026C">
            <w:pPr>
              <w:pBdr>
                <w:top w:val="nil"/>
                <w:left w:val="nil"/>
                <w:bottom w:val="nil"/>
                <w:right w:val="nil"/>
                <w:between w:val="nil"/>
              </w:pBdr>
              <w:spacing w:line="240" w:lineRule="auto"/>
              <w:ind w:left="0" w:hanging="2"/>
              <w:jc w:val="both"/>
              <w:rPr>
                <w:rFonts w:ascii="Arial" w:eastAsia="Arial" w:hAnsi="Arial" w:cs="Arial"/>
                <w:color w:val="000000"/>
                <w:sz w:val="20"/>
                <w:szCs w:val="20"/>
              </w:rPr>
            </w:pPr>
            <w:r w:rsidRPr="0049026C">
              <w:rPr>
                <w:rFonts w:ascii="Arial" w:eastAsia="Arial" w:hAnsi="Arial" w:cs="Arial"/>
                <w:color w:val="000000"/>
                <w:sz w:val="20"/>
                <w:szCs w:val="20"/>
              </w:rPr>
              <w:t>simone.rossi@unisi.it</w:t>
            </w:r>
          </w:p>
        </w:tc>
        <w:tc>
          <w:tcPr>
            <w:tcW w:w="706" w:type="dxa"/>
            <w:tcBorders>
              <w:top w:val="nil"/>
              <w:left w:val="single" w:sz="4" w:space="0" w:color="000000"/>
              <w:bottom w:val="nil"/>
              <w:right w:val="single" w:sz="4" w:space="0" w:color="000000"/>
            </w:tcBorders>
          </w:tcPr>
          <w:p w14:paraId="61392166" w14:textId="77777777" w:rsidR="001471BF" w:rsidRDefault="001471BF">
            <w:pPr>
              <w:pBdr>
                <w:top w:val="nil"/>
                <w:left w:val="nil"/>
                <w:bottom w:val="nil"/>
                <w:right w:val="nil"/>
                <w:between w:val="nil"/>
              </w:pBdr>
              <w:spacing w:line="240" w:lineRule="auto"/>
              <w:ind w:left="0" w:hanging="2"/>
              <w:jc w:val="both"/>
              <w:rPr>
                <w:rFonts w:ascii="Arial" w:eastAsia="Arial" w:hAnsi="Arial" w:cs="Arial"/>
                <w:color w:val="000000"/>
                <w:sz w:val="20"/>
                <w:szCs w:val="20"/>
              </w:rPr>
            </w:pPr>
          </w:p>
        </w:tc>
      </w:tr>
    </w:tbl>
    <w:p w14:paraId="48BBCB89" w14:textId="77777777" w:rsidR="001471BF" w:rsidRDefault="001471BF">
      <w:pPr>
        <w:pBdr>
          <w:top w:val="nil"/>
          <w:left w:val="nil"/>
          <w:bottom w:val="nil"/>
          <w:right w:val="nil"/>
          <w:between w:val="nil"/>
        </w:pBdr>
        <w:spacing w:line="240" w:lineRule="auto"/>
        <w:ind w:left="0" w:hanging="2"/>
        <w:jc w:val="both"/>
        <w:rPr>
          <w:rFonts w:ascii="Arial" w:eastAsia="Arial" w:hAnsi="Arial" w:cs="Arial"/>
          <w:color w:val="FF0000"/>
          <w:sz w:val="20"/>
          <w:szCs w:val="20"/>
        </w:rPr>
      </w:pPr>
    </w:p>
    <w:p w14:paraId="677C355D" w14:textId="77777777" w:rsidR="001471BF" w:rsidRPr="00D4412E" w:rsidRDefault="00000000">
      <w:pPr>
        <w:pBdr>
          <w:top w:val="nil"/>
          <w:left w:val="nil"/>
          <w:bottom w:val="nil"/>
          <w:right w:val="nil"/>
          <w:between w:val="nil"/>
        </w:pBdr>
        <w:spacing w:line="240" w:lineRule="auto"/>
        <w:ind w:left="0" w:hanging="2"/>
        <w:jc w:val="both"/>
        <w:rPr>
          <w:rFonts w:ascii="Arial" w:eastAsia="Arial" w:hAnsi="Arial" w:cs="Arial"/>
          <w:color w:val="000000" w:themeColor="text1"/>
          <w:sz w:val="20"/>
          <w:szCs w:val="20"/>
        </w:rPr>
      </w:pPr>
      <w:r w:rsidRPr="00D4412E">
        <w:rPr>
          <w:rFonts w:ascii="Arial" w:eastAsia="Arial" w:hAnsi="Arial" w:cs="Arial"/>
          <w:b/>
          <w:color w:val="000000" w:themeColor="text1"/>
          <w:sz w:val="24"/>
          <w:szCs w:val="24"/>
        </w:rPr>
        <w:t>Section 2 – Sector of interest</w:t>
      </w:r>
    </w:p>
    <w:tbl>
      <w:tblPr>
        <w:tblStyle w:val="a0"/>
        <w:tblW w:w="978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7371"/>
      </w:tblGrid>
      <w:tr w:rsidR="001471BF" w14:paraId="173A86D1" w14:textId="77777777" w:rsidTr="006E71EC">
        <w:trPr>
          <w:cantSplit/>
          <w:trHeight w:val="583"/>
        </w:trPr>
        <w:tc>
          <w:tcPr>
            <w:tcW w:w="2410" w:type="dxa"/>
          </w:tcPr>
          <w:p w14:paraId="23180E86" w14:textId="77777777" w:rsidR="001471BF" w:rsidRDefault="00000000">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b/>
                <w:color w:val="000000"/>
                <w:sz w:val="20"/>
                <w:szCs w:val="20"/>
              </w:rPr>
              <w:t>Work programme</w:t>
            </w:r>
          </w:p>
        </w:tc>
        <w:tc>
          <w:tcPr>
            <w:tcW w:w="7371" w:type="dxa"/>
          </w:tcPr>
          <w:p w14:paraId="6CF1E712" w14:textId="725E2D7A" w:rsidR="00D027BE" w:rsidRDefault="00FA4C4B">
            <w:pPr>
              <w:spacing w:line="240" w:lineRule="auto"/>
              <w:ind w:left="0" w:hanging="2"/>
              <w:jc w:val="both"/>
            </w:pPr>
            <w:r w:rsidRPr="00FA4C4B">
              <w:rPr>
                <w:rFonts w:ascii="Arial" w:eastAsia="Arial" w:hAnsi="Arial"/>
                <w:color w:val="000000" w:themeColor="text1"/>
                <w:sz w:val="20"/>
              </w:rPr>
              <w:t>Horizon Europe Work Programme 2027 – Cluster 1: Health</w:t>
            </w:r>
          </w:p>
        </w:tc>
      </w:tr>
      <w:tr w:rsidR="001471BF" w14:paraId="7E374C27" w14:textId="77777777" w:rsidTr="006B6136">
        <w:trPr>
          <w:cantSplit/>
          <w:trHeight w:val="583"/>
        </w:trPr>
        <w:tc>
          <w:tcPr>
            <w:tcW w:w="2410" w:type="dxa"/>
          </w:tcPr>
          <w:p w14:paraId="3B52BB58" w14:textId="77777777" w:rsidR="001471BF" w:rsidRDefault="00000000">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b/>
                <w:color w:val="000000"/>
                <w:sz w:val="20"/>
                <w:szCs w:val="20"/>
              </w:rPr>
              <w:t>Topic according to the work programme</w:t>
            </w:r>
          </w:p>
        </w:tc>
        <w:tc>
          <w:tcPr>
            <w:tcW w:w="7371" w:type="dxa"/>
          </w:tcPr>
          <w:p w14:paraId="55285456" w14:textId="319CBAF7" w:rsidR="00D027BE" w:rsidRDefault="00FA4C4B" w:rsidP="00FA4C4B">
            <w:pPr>
              <w:pStyle w:val="Paragrafoelenco"/>
              <w:numPr>
                <w:ilvl w:val="0"/>
                <w:numId w:val="5"/>
              </w:numPr>
              <w:spacing w:line="240" w:lineRule="auto"/>
              <w:ind w:leftChars="0" w:firstLineChars="0"/>
              <w:jc w:val="both"/>
              <w:rPr>
                <w:rFonts w:ascii="Arial" w:eastAsia="Arial" w:hAnsi="Arial"/>
                <w:b/>
                <w:bCs/>
                <w:sz w:val="19"/>
              </w:rPr>
            </w:pPr>
            <w:r w:rsidRPr="00FA4C4B">
              <w:rPr>
                <w:rFonts w:ascii="Arial" w:eastAsia="Arial" w:hAnsi="Arial"/>
                <w:b/>
                <w:bCs/>
                <w:sz w:val="19"/>
              </w:rPr>
              <w:t>Development of predictive biomarkers of disease progression and treatment response by using AI methodologies for chronic non-communicable diseases</w:t>
            </w:r>
          </w:p>
          <w:p w14:paraId="05EE111E" w14:textId="77777777" w:rsidR="00FA4C4B" w:rsidRDefault="00FA4C4B" w:rsidP="00FA4C4B">
            <w:pPr>
              <w:spacing w:line="240" w:lineRule="auto"/>
              <w:ind w:leftChars="0" w:left="0" w:firstLineChars="0" w:firstLine="0"/>
              <w:jc w:val="both"/>
              <w:rPr>
                <w:rFonts w:ascii="Arial" w:eastAsia="Arial" w:hAnsi="Arial"/>
                <w:b/>
                <w:bCs/>
                <w:sz w:val="19"/>
              </w:rPr>
            </w:pPr>
          </w:p>
          <w:p w14:paraId="24A9EEC9" w14:textId="2F9CD47C" w:rsidR="00FA4C4B" w:rsidRDefault="00FA4C4B" w:rsidP="00FA4C4B">
            <w:pPr>
              <w:pStyle w:val="Paragrafoelenco"/>
              <w:numPr>
                <w:ilvl w:val="0"/>
                <w:numId w:val="5"/>
              </w:numPr>
              <w:spacing w:line="240" w:lineRule="auto"/>
              <w:ind w:leftChars="0" w:firstLineChars="0"/>
              <w:jc w:val="both"/>
              <w:rPr>
                <w:rFonts w:ascii="Arial" w:eastAsia="Arial" w:hAnsi="Arial"/>
                <w:b/>
                <w:bCs/>
                <w:sz w:val="19"/>
              </w:rPr>
            </w:pPr>
            <w:r w:rsidRPr="00FA4C4B">
              <w:rPr>
                <w:rFonts w:ascii="Arial" w:eastAsia="Arial" w:hAnsi="Arial"/>
                <w:b/>
                <w:bCs/>
                <w:sz w:val="19"/>
              </w:rPr>
              <w:t>Clinical trials for advancing innovative interventions for neurodegenerative diseases</w:t>
            </w:r>
          </w:p>
          <w:p w14:paraId="3D143D11" w14:textId="77777777" w:rsidR="00FA4C4B" w:rsidRPr="00FA4C4B" w:rsidRDefault="00FA4C4B" w:rsidP="00FA4C4B">
            <w:pPr>
              <w:pStyle w:val="Paragrafoelenco"/>
              <w:ind w:left="0" w:hanging="2"/>
              <w:rPr>
                <w:rFonts w:ascii="Arial" w:eastAsia="Arial" w:hAnsi="Arial"/>
                <w:b/>
                <w:bCs/>
                <w:sz w:val="19"/>
              </w:rPr>
            </w:pPr>
          </w:p>
          <w:p w14:paraId="6FE9FA61" w14:textId="65DC8EBE" w:rsidR="00FA4C4B" w:rsidRPr="00FA4C4B" w:rsidRDefault="00FA4C4B" w:rsidP="00FA4C4B">
            <w:pPr>
              <w:pStyle w:val="Paragrafoelenco"/>
              <w:numPr>
                <w:ilvl w:val="0"/>
                <w:numId w:val="5"/>
              </w:numPr>
              <w:spacing w:line="240" w:lineRule="auto"/>
              <w:ind w:leftChars="0" w:firstLineChars="0"/>
              <w:jc w:val="both"/>
              <w:rPr>
                <w:rFonts w:ascii="Arial" w:eastAsia="Arial" w:hAnsi="Arial"/>
                <w:b/>
                <w:bCs/>
                <w:sz w:val="19"/>
              </w:rPr>
            </w:pPr>
            <w:r w:rsidRPr="00FA4C4B">
              <w:rPr>
                <w:rFonts w:ascii="Arial" w:eastAsia="Arial" w:hAnsi="Arial"/>
                <w:b/>
                <w:bCs/>
                <w:sz w:val="19"/>
              </w:rPr>
              <w:t>Virtual Human Twins (VHTs) for integrated clinical decision support in prevention and diagnosis</w:t>
            </w:r>
          </w:p>
        </w:tc>
      </w:tr>
      <w:tr w:rsidR="00CA0A45" w:rsidRPr="006E71EC" w14:paraId="044EAD35" w14:textId="77777777" w:rsidTr="006E71EC">
        <w:trPr>
          <w:cantSplit/>
          <w:trHeight w:val="583"/>
        </w:trPr>
        <w:tc>
          <w:tcPr>
            <w:tcW w:w="2410" w:type="dxa"/>
          </w:tcPr>
          <w:p w14:paraId="2A716A2F" w14:textId="77777777" w:rsidR="00CA0A45" w:rsidRDefault="00CA0A45" w:rsidP="00CA0A45">
            <w:pPr>
              <w:pBdr>
                <w:top w:val="nil"/>
                <w:left w:val="nil"/>
                <w:bottom w:val="nil"/>
                <w:right w:val="nil"/>
                <w:between w:val="nil"/>
              </w:pBdr>
              <w:spacing w:line="240" w:lineRule="auto"/>
              <w:ind w:left="0" w:hanging="2"/>
              <w:jc w:val="both"/>
              <w:rPr>
                <w:rFonts w:ascii="Arial" w:eastAsia="Arial" w:hAnsi="Arial" w:cs="Arial"/>
                <w:b/>
                <w:color w:val="000000"/>
                <w:sz w:val="20"/>
                <w:szCs w:val="20"/>
              </w:rPr>
            </w:pPr>
            <w:r>
              <w:rPr>
                <w:rFonts w:ascii="Arial" w:eastAsia="Arial" w:hAnsi="Arial" w:cs="Arial"/>
                <w:b/>
              </w:rPr>
              <w:t>Call (if applicable)</w:t>
            </w:r>
          </w:p>
        </w:tc>
        <w:tc>
          <w:tcPr>
            <w:tcW w:w="7371" w:type="dxa"/>
          </w:tcPr>
          <w:p w14:paraId="569C3447" w14:textId="79FB2773" w:rsidR="00D027BE" w:rsidRDefault="00FA4C4B" w:rsidP="00FA4C4B">
            <w:pPr>
              <w:pStyle w:val="Paragrafoelenco"/>
              <w:numPr>
                <w:ilvl w:val="0"/>
                <w:numId w:val="5"/>
              </w:numPr>
              <w:spacing w:line="240" w:lineRule="auto"/>
              <w:ind w:leftChars="0" w:firstLineChars="0"/>
              <w:jc w:val="both"/>
              <w:rPr>
                <w:rFonts w:ascii="Arial" w:eastAsia="Arial" w:hAnsi="Arial"/>
                <w:i/>
                <w:iCs/>
                <w:sz w:val="19"/>
              </w:rPr>
            </w:pPr>
            <w:r w:rsidRPr="00FA4C4B">
              <w:rPr>
                <w:rFonts w:ascii="Arial" w:eastAsia="Arial" w:hAnsi="Arial"/>
                <w:i/>
                <w:iCs/>
                <w:sz w:val="19"/>
              </w:rPr>
              <w:t>HORIZON-HLTH-2027-02-TOOL-01-two-stage</w:t>
            </w:r>
          </w:p>
          <w:p w14:paraId="26E9D4EF" w14:textId="77777777" w:rsidR="00FA4C4B" w:rsidRDefault="00FA4C4B" w:rsidP="00FA4C4B">
            <w:pPr>
              <w:spacing w:line="240" w:lineRule="auto"/>
              <w:ind w:leftChars="0" w:left="0" w:firstLineChars="0" w:firstLine="0"/>
              <w:jc w:val="both"/>
              <w:rPr>
                <w:rFonts w:ascii="Arial" w:eastAsia="Arial" w:hAnsi="Arial"/>
                <w:i/>
                <w:iCs/>
                <w:sz w:val="19"/>
              </w:rPr>
            </w:pPr>
          </w:p>
          <w:p w14:paraId="12CA5747" w14:textId="14609D22" w:rsidR="00FA4C4B" w:rsidRDefault="00FA4C4B" w:rsidP="00FA4C4B">
            <w:pPr>
              <w:spacing w:line="240" w:lineRule="auto"/>
              <w:ind w:leftChars="0" w:left="0" w:firstLineChars="0" w:firstLine="0"/>
              <w:jc w:val="both"/>
              <w:rPr>
                <w:rFonts w:ascii="Arial" w:eastAsia="Arial" w:hAnsi="Arial"/>
                <w:i/>
                <w:iCs/>
                <w:sz w:val="19"/>
              </w:rPr>
            </w:pPr>
            <w:r>
              <w:rPr>
                <w:rFonts w:ascii="Arial" w:eastAsia="Arial" w:hAnsi="Arial"/>
                <w:i/>
                <w:iCs/>
                <w:sz w:val="19"/>
              </w:rPr>
              <w:t>-</w:t>
            </w:r>
            <w:r w:rsidRPr="00FA4C4B">
              <w:rPr>
                <w:rFonts w:ascii="Arial" w:hAnsi="Arial" w:cs="Arial"/>
                <w:i/>
                <w:iCs/>
                <w:color w:val="222222"/>
                <w:shd w:val="clear" w:color="auto" w:fill="FFFFFF"/>
              </w:rPr>
              <w:t xml:space="preserve"> </w:t>
            </w:r>
            <w:r>
              <w:rPr>
                <w:rFonts w:ascii="Arial" w:hAnsi="Arial" w:cs="Arial"/>
                <w:i/>
                <w:iCs/>
                <w:color w:val="222222"/>
                <w:shd w:val="clear" w:color="auto" w:fill="FFFFFF"/>
              </w:rPr>
              <w:t xml:space="preserve">    </w:t>
            </w:r>
            <w:r w:rsidRPr="00FA4C4B">
              <w:rPr>
                <w:rFonts w:ascii="Arial" w:eastAsia="Arial" w:hAnsi="Arial"/>
                <w:i/>
                <w:iCs/>
                <w:sz w:val="19"/>
              </w:rPr>
              <w:t>HORIZON-HLTH-2027-02-DISEASE-14-two-stage</w:t>
            </w:r>
          </w:p>
          <w:p w14:paraId="0D0229C0" w14:textId="77777777" w:rsidR="00FA4C4B" w:rsidRDefault="00FA4C4B" w:rsidP="00FA4C4B">
            <w:pPr>
              <w:spacing w:line="240" w:lineRule="auto"/>
              <w:ind w:leftChars="0" w:left="0" w:firstLineChars="0" w:firstLine="0"/>
              <w:jc w:val="both"/>
              <w:rPr>
                <w:rFonts w:ascii="Arial" w:eastAsia="Arial" w:hAnsi="Arial"/>
                <w:i/>
                <w:iCs/>
                <w:sz w:val="19"/>
              </w:rPr>
            </w:pPr>
          </w:p>
          <w:p w14:paraId="06980E4F" w14:textId="0D6F726B" w:rsidR="00FA4C4B" w:rsidRPr="00FA4C4B" w:rsidRDefault="00FA4C4B" w:rsidP="00FA4C4B">
            <w:pPr>
              <w:pStyle w:val="Paragrafoelenco"/>
              <w:numPr>
                <w:ilvl w:val="0"/>
                <w:numId w:val="5"/>
              </w:numPr>
              <w:spacing w:line="240" w:lineRule="auto"/>
              <w:ind w:leftChars="0" w:firstLineChars="0"/>
              <w:jc w:val="both"/>
              <w:rPr>
                <w:rFonts w:ascii="Arial" w:eastAsia="Arial" w:hAnsi="Arial"/>
                <w:i/>
                <w:iCs/>
                <w:sz w:val="19"/>
              </w:rPr>
            </w:pPr>
            <w:r w:rsidRPr="00FA4C4B">
              <w:rPr>
                <w:rFonts w:ascii="Arial" w:eastAsia="Arial" w:hAnsi="Arial"/>
                <w:i/>
                <w:iCs/>
                <w:sz w:val="19"/>
              </w:rPr>
              <w:t>HORIZON-HLTH-2027-03-TOOL-04</w:t>
            </w:r>
          </w:p>
          <w:p w14:paraId="5C0343D8" w14:textId="566D1608" w:rsidR="00FA4C4B" w:rsidRDefault="00FA4C4B">
            <w:pPr>
              <w:spacing w:line="240" w:lineRule="auto"/>
              <w:ind w:left="0" w:hanging="2"/>
              <w:jc w:val="both"/>
            </w:pPr>
          </w:p>
        </w:tc>
      </w:tr>
    </w:tbl>
    <w:p w14:paraId="595787C5" w14:textId="77777777" w:rsidR="001471BF" w:rsidRPr="00D4412E" w:rsidRDefault="001471BF">
      <w:pPr>
        <w:pBdr>
          <w:top w:val="nil"/>
          <w:left w:val="nil"/>
          <w:bottom w:val="nil"/>
          <w:right w:val="nil"/>
          <w:between w:val="nil"/>
        </w:pBdr>
        <w:spacing w:line="240" w:lineRule="auto"/>
        <w:ind w:left="0" w:hanging="2"/>
        <w:jc w:val="both"/>
        <w:rPr>
          <w:rFonts w:ascii="Arial" w:eastAsia="Arial" w:hAnsi="Arial" w:cs="Arial"/>
          <w:color w:val="000000" w:themeColor="text1"/>
          <w:sz w:val="24"/>
          <w:szCs w:val="24"/>
        </w:rPr>
      </w:pPr>
    </w:p>
    <w:p w14:paraId="0E006F47" w14:textId="77777777" w:rsidR="001471BF" w:rsidRPr="00D4412E" w:rsidRDefault="00000000">
      <w:pPr>
        <w:pBdr>
          <w:top w:val="nil"/>
          <w:left w:val="nil"/>
          <w:bottom w:val="nil"/>
          <w:right w:val="nil"/>
          <w:between w:val="nil"/>
        </w:pBdr>
        <w:spacing w:line="240" w:lineRule="auto"/>
        <w:ind w:left="0" w:hanging="2"/>
        <w:jc w:val="both"/>
        <w:rPr>
          <w:rFonts w:ascii="Arial" w:eastAsia="Arial" w:hAnsi="Arial" w:cs="Arial"/>
          <w:color w:val="000000" w:themeColor="text1"/>
          <w:sz w:val="20"/>
          <w:szCs w:val="20"/>
        </w:rPr>
      </w:pPr>
      <w:r w:rsidRPr="00D4412E">
        <w:rPr>
          <w:rFonts w:ascii="Arial" w:eastAsia="Arial" w:hAnsi="Arial" w:cs="Arial"/>
          <w:b/>
          <w:color w:val="000000" w:themeColor="text1"/>
          <w:sz w:val="24"/>
          <w:szCs w:val="24"/>
        </w:rPr>
        <w:t>Section 3 - Description of the expertise</w:t>
      </w:r>
    </w:p>
    <w:tbl>
      <w:tblPr>
        <w:tblStyle w:val="a1"/>
        <w:tblW w:w="978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7371"/>
      </w:tblGrid>
      <w:tr w:rsidR="001471BF" w14:paraId="0BC9E7F1" w14:textId="77777777">
        <w:trPr>
          <w:trHeight w:val="1019"/>
        </w:trPr>
        <w:tc>
          <w:tcPr>
            <w:tcW w:w="2410" w:type="dxa"/>
          </w:tcPr>
          <w:p w14:paraId="41B9C10C" w14:textId="77777777" w:rsidR="001471BF" w:rsidRDefault="00000000">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b/>
                <w:color w:val="000000"/>
                <w:sz w:val="20"/>
                <w:szCs w:val="20"/>
              </w:rPr>
              <w:t xml:space="preserve">Description of the expertise </w:t>
            </w:r>
          </w:p>
          <w:p w14:paraId="0E2FC36D" w14:textId="77777777" w:rsidR="001471BF" w:rsidRDefault="00000000">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(max 2.000 characters)</w:t>
            </w:r>
          </w:p>
          <w:p w14:paraId="5968ECCF" w14:textId="77777777" w:rsidR="001471BF" w:rsidRDefault="001471BF">
            <w:pPr>
              <w:pBdr>
                <w:top w:val="nil"/>
                <w:left w:val="nil"/>
                <w:bottom w:val="nil"/>
                <w:right w:val="nil"/>
                <w:between w:val="nil"/>
              </w:pBdr>
              <w:spacing w:line="240" w:lineRule="auto"/>
              <w:ind w:left="0" w:hanging="2"/>
              <w:jc w:val="both"/>
              <w:rPr>
                <w:rFonts w:ascii="Arial" w:eastAsia="Arial" w:hAnsi="Arial" w:cs="Arial"/>
                <w:color w:val="000000"/>
                <w:sz w:val="20"/>
                <w:szCs w:val="20"/>
              </w:rPr>
            </w:pPr>
          </w:p>
        </w:tc>
        <w:tc>
          <w:tcPr>
            <w:tcW w:w="7371" w:type="dxa"/>
          </w:tcPr>
          <w:p w14:paraId="2951B497" w14:textId="77777777" w:rsidR="00D027BE" w:rsidRDefault="00000000">
            <w:pPr>
              <w:spacing w:after="60" w:line="240" w:lineRule="auto"/>
              <w:ind w:left="0" w:hanging="2"/>
              <w:jc w:val="both"/>
            </w:pPr>
            <w:r>
              <w:rPr>
                <w:rFonts w:ascii="Arial" w:eastAsia="Arial" w:hAnsi="Arial"/>
                <w:sz w:val="18"/>
              </w:rPr>
              <w:t>SIBINLAB (Siena Brain Investigation and Neuromodulation Lab, University of Siena) is a clinical and translational neuroscience laboratory integrated within a university-hospital environment, offering access to diverse neurological, neurodegenerative and sensory patient populations, including multiple sclerosis, Parkinson's disease, hearing loss/cochlear implant users, Alzheimer's disease, primary progressive aphasia, vestibular migraine, visual snow syndrome and tinnitus.</w:t>
            </w:r>
          </w:p>
          <w:p w14:paraId="3E89D434" w14:textId="29A124B7" w:rsidR="00D027BE" w:rsidRDefault="00000000">
            <w:pPr>
              <w:spacing w:after="60" w:line="240" w:lineRule="auto"/>
              <w:ind w:left="0" w:hanging="2"/>
              <w:jc w:val="both"/>
            </w:pPr>
            <w:r>
              <w:rPr>
                <w:rFonts w:ascii="Arial" w:eastAsia="Arial" w:hAnsi="Arial"/>
                <w:sz w:val="18"/>
              </w:rPr>
              <w:t>The laboratory combines non-invasive brain stimulation with multimodal neurophysiological and behavioural phenotyping. Neuromodulation capabilities include TMS/rTMS and transcranial electrical stimulation (tES: tDCS, tACS, tRNS). Research methods include EEG, TMS-EEG, cortical excitability and inhibition/facilitation protocols (MEP, SICI, ICF), autonomic measures (GSR/EDA, ECG), cognitive and neuropsychological testing, psychological assessment, behavioural paradigms, and fMRI analysis.</w:t>
            </w:r>
          </w:p>
          <w:p w14:paraId="489EB671" w14:textId="77777777" w:rsidR="00D027BE" w:rsidRDefault="00000000">
            <w:pPr>
              <w:spacing w:after="60" w:line="240" w:lineRule="auto"/>
              <w:ind w:left="0" w:hanging="2"/>
              <w:jc w:val="both"/>
            </w:pPr>
            <w:r>
              <w:rPr>
                <w:rFonts w:ascii="Arial" w:eastAsia="Arial" w:hAnsi="Arial"/>
                <w:sz w:val="18"/>
              </w:rPr>
              <w:t>This combination of clinical access and advanced methods enables SIBINLAB to support the full translational pipeline: patient recruitment and phenotyping, mechanistic studies, biomarker development, proof-of-concept interventions, randomized controlled trials and longitudinal follow-up. The team has extensive experience in neuromodulation, neuroplasticity, neurorehabilitation, virtual reality and multimodal neuroscience within national and EU-funded collaborations.</w:t>
            </w:r>
          </w:p>
        </w:tc>
      </w:tr>
      <w:tr w:rsidR="001471BF" w14:paraId="075B5202" w14:textId="77777777">
        <w:trPr>
          <w:trHeight w:val="660"/>
        </w:trPr>
        <w:tc>
          <w:tcPr>
            <w:tcW w:w="2410" w:type="dxa"/>
          </w:tcPr>
          <w:p w14:paraId="5BD3C8B0" w14:textId="77777777" w:rsidR="001471BF" w:rsidRDefault="001471BF">
            <w:pPr>
              <w:pBdr>
                <w:top w:val="nil"/>
                <w:left w:val="nil"/>
                <w:bottom w:val="nil"/>
                <w:right w:val="nil"/>
                <w:between w:val="nil"/>
              </w:pBdr>
              <w:spacing w:line="240" w:lineRule="auto"/>
              <w:ind w:left="0" w:hanging="2"/>
              <w:jc w:val="both"/>
              <w:rPr>
                <w:rFonts w:ascii="Arial" w:eastAsia="Arial" w:hAnsi="Arial" w:cs="Arial"/>
                <w:color w:val="000000"/>
                <w:sz w:val="20"/>
                <w:szCs w:val="20"/>
              </w:rPr>
            </w:pPr>
          </w:p>
          <w:p w14:paraId="66C6F45B" w14:textId="77777777" w:rsidR="001471BF" w:rsidRDefault="00000000">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b/>
                <w:color w:val="000000"/>
                <w:sz w:val="20"/>
                <w:szCs w:val="20"/>
              </w:rPr>
              <w:t>Research Fields</w:t>
            </w:r>
          </w:p>
        </w:tc>
        <w:tc>
          <w:tcPr>
            <w:tcW w:w="7371" w:type="dxa"/>
          </w:tcPr>
          <w:p w14:paraId="799940E4" w14:textId="77777777" w:rsidR="00D027BE" w:rsidRDefault="00000000">
            <w:pPr>
              <w:spacing w:line="240" w:lineRule="auto"/>
              <w:ind w:left="0" w:hanging="2"/>
            </w:pPr>
            <w:r>
              <w:rPr>
                <w:rFonts w:ascii="Arial" w:eastAsia="Arial" w:hAnsi="Arial"/>
                <w:sz w:val="19"/>
              </w:rPr>
              <w:t>Clinical Neuroscience | Cognitive Neuroscience | Neurophysiology | Neurology | Neuropsychology | Neuromodulation | Neurorehabilitation | Sensory Neuroscience | Neurodegeneration | Brain Health</w:t>
            </w:r>
          </w:p>
        </w:tc>
      </w:tr>
      <w:tr w:rsidR="001471BF" w14:paraId="031B70C6" w14:textId="77777777">
        <w:trPr>
          <w:cantSplit/>
          <w:trHeight w:val="993"/>
        </w:trPr>
        <w:tc>
          <w:tcPr>
            <w:tcW w:w="2410" w:type="dxa"/>
          </w:tcPr>
          <w:p w14:paraId="5565CED9" w14:textId="77777777" w:rsidR="001471BF" w:rsidRDefault="00000000">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b/>
                <w:color w:val="000000"/>
                <w:sz w:val="20"/>
                <w:szCs w:val="20"/>
              </w:rPr>
              <w:t xml:space="preserve">Keywords describing the expertise </w:t>
            </w:r>
          </w:p>
          <w:p w14:paraId="3DBD368B" w14:textId="77777777" w:rsidR="001471BF" w:rsidRDefault="00000000">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(if needed more than one)</w:t>
            </w:r>
          </w:p>
        </w:tc>
        <w:tc>
          <w:tcPr>
            <w:tcW w:w="7371" w:type="dxa"/>
          </w:tcPr>
          <w:p w14:paraId="1EE258ED" w14:textId="77777777" w:rsidR="00D027BE" w:rsidRDefault="00000000">
            <w:pPr>
              <w:spacing w:after="20" w:line="240" w:lineRule="auto"/>
              <w:ind w:left="0" w:hanging="2"/>
            </w:pPr>
            <w:r>
              <w:rPr>
                <w:rFonts w:ascii="Arial" w:eastAsia="Arial" w:hAnsi="Arial"/>
                <w:sz w:val="18"/>
              </w:rPr>
              <w:t>TMS / rTMS | tES (tDCS, tACS, tRNS) | EEG | TMS-EEG | MEP | SICI | ICF | fMRI</w:t>
            </w:r>
          </w:p>
          <w:p w14:paraId="6C7A3B2F" w14:textId="77777777" w:rsidR="00D027BE" w:rsidRDefault="00000000">
            <w:pPr>
              <w:spacing w:after="20" w:line="240" w:lineRule="auto"/>
              <w:ind w:left="0" w:hanging="2"/>
            </w:pPr>
            <w:r>
              <w:rPr>
                <w:rFonts w:ascii="Arial" w:eastAsia="Arial" w:hAnsi="Arial"/>
                <w:sz w:val="18"/>
              </w:rPr>
              <w:t>GSR / EDA | ECG | Neuropsychology | Cognitive Assessment | Behavioural Testing | Biomarkers | Neuroplasticity</w:t>
            </w:r>
          </w:p>
          <w:p w14:paraId="283D7808" w14:textId="77777777" w:rsidR="00D027BE" w:rsidRDefault="00000000">
            <w:pPr>
              <w:spacing w:after="20" w:line="240" w:lineRule="auto"/>
              <w:ind w:left="0" w:hanging="2"/>
            </w:pPr>
            <w:r>
              <w:rPr>
                <w:rFonts w:ascii="Arial" w:eastAsia="Arial" w:hAnsi="Arial"/>
                <w:sz w:val="18"/>
              </w:rPr>
              <w:t>Multiple Sclerosis | Parkinson's Disease | Alzheimer's Disease | Primary Progressive Aphasia</w:t>
            </w:r>
          </w:p>
          <w:p w14:paraId="59328B6B" w14:textId="77777777" w:rsidR="00D027BE" w:rsidRDefault="00000000">
            <w:pPr>
              <w:spacing w:after="20" w:line="240" w:lineRule="auto"/>
              <w:ind w:left="0" w:hanging="2"/>
            </w:pPr>
            <w:r>
              <w:rPr>
                <w:rFonts w:ascii="Arial" w:eastAsia="Arial" w:hAnsi="Arial"/>
                <w:sz w:val="18"/>
              </w:rPr>
              <w:t>Hearing Loss | Cochlear Implant | Vestibular Migraine | Visual Snow Syndrome | Tinnitus | Clinical Trials</w:t>
            </w:r>
          </w:p>
        </w:tc>
      </w:tr>
      <w:tr w:rsidR="001471BF" w14:paraId="75D9C1BA" w14:textId="77777777">
        <w:trPr>
          <w:cantSplit/>
          <w:trHeight w:val="993"/>
        </w:trPr>
        <w:tc>
          <w:tcPr>
            <w:tcW w:w="2410" w:type="dxa"/>
          </w:tcPr>
          <w:p w14:paraId="4EC21ACB" w14:textId="77777777" w:rsidR="001471BF" w:rsidRDefault="00000000">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b/>
                <w:color w:val="000000"/>
                <w:sz w:val="20"/>
                <w:szCs w:val="20"/>
              </w:rPr>
              <w:t>Previous Related Projects / Research Experience</w:t>
            </w:r>
          </w:p>
        </w:tc>
        <w:tc>
          <w:tcPr>
            <w:tcW w:w="7371" w:type="dxa"/>
          </w:tcPr>
          <w:p w14:paraId="76FD2893" w14:textId="42EF4EF9" w:rsidR="00D4412E" w:rsidRPr="00D4412E" w:rsidRDefault="00D4412E" w:rsidP="00D4412E">
            <w:pPr>
              <w:spacing w:after="20" w:line="240" w:lineRule="auto"/>
              <w:ind w:leftChars="0" w:left="0" w:firstLineChars="0" w:hanging="2"/>
              <w:jc w:val="both"/>
              <w:rPr>
                <w:rFonts w:ascii="Arial" w:eastAsia="Arial" w:hAnsi="Arial"/>
                <w:sz w:val="18"/>
              </w:rPr>
            </w:pPr>
            <w:r>
              <w:rPr>
                <w:rFonts w:ascii="Arial" w:eastAsia="Arial" w:hAnsi="Arial"/>
                <w:sz w:val="18"/>
              </w:rPr>
              <w:t>-</w:t>
            </w:r>
            <w:r w:rsidRPr="00D4412E">
              <w:rPr>
                <w:rFonts w:ascii="Arial" w:eastAsia="Arial" w:hAnsi="Arial"/>
                <w:sz w:val="18"/>
              </w:rPr>
              <w:t>Non-invasive brain stimulation in neurodegenerative disorders: ongoing TMS and tES studies in patients with Alzheimer's disease, integrating neuromodulation with neurophysiological, cognitive and behavioural outcome measures.</w:t>
            </w:r>
          </w:p>
          <w:p w14:paraId="690A7E25" w14:textId="71B58DC8" w:rsidR="00D4412E" w:rsidRPr="00D4412E" w:rsidRDefault="00D4412E" w:rsidP="00D4412E">
            <w:pPr>
              <w:spacing w:after="20" w:line="240" w:lineRule="auto"/>
              <w:ind w:left="0" w:hanging="2"/>
              <w:jc w:val="both"/>
              <w:rPr>
                <w:rFonts w:ascii="Arial" w:eastAsia="Arial" w:hAnsi="Arial"/>
                <w:sz w:val="18"/>
              </w:rPr>
            </w:pPr>
            <w:r>
              <w:rPr>
                <w:rFonts w:ascii="Arial" w:eastAsia="Arial" w:hAnsi="Arial"/>
                <w:sz w:val="18"/>
              </w:rPr>
              <w:t>-</w:t>
            </w:r>
            <w:r w:rsidRPr="00D4412E">
              <w:rPr>
                <w:rFonts w:ascii="Arial" w:eastAsia="Arial" w:hAnsi="Arial"/>
                <w:sz w:val="18"/>
              </w:rPr>
              <w:t>Neuromodulation in Parkinson's disease: ongoing tES studies investigating motor, postural and non-motor mechanisms, including modulation of vestibular cortical networks and their contribution to postural control.</w:t>
            </w:r>
          </w:p>
          <w:p w14:paraId="52963D43" w14:textId="5D0D1E00" w:rsidR="00D4412E" w:rsidRPr="00D4412E" w:rsidRDefault="00D4412E" w:rsidP="00D4412E">
            <w:pPr>
              <w:spacing w:after="20" w:line="240" w:lineRule="auto"/>
              <w:ind w:left="0" w:hanging="2"/>
              <w:jc w:val="both"/>
              <w:rPr>
                <w:rFonts w:ascii="Arial" w:eastAsia="Arial" w:hAnsi="Arial"/>
                <w:sz w:val="18"/>
              </w:rPr>
            </w:pPr>
            <w:r>
              <w:rPr>
                <w:rFonts w:ascii="Arial" w:eastAsia="Arial" w:hAnsi="Arial"/>
                <w:sz w:val="18"/>
              </w:rPr>
              <w:t>-</w:t>
            </w:r>
            <w:r w:rsidRPr="00D4412E">
              <w:rPr>
                <w:rFonts w:ascii="Arial" w:eastAsia="Arial" w:hAnsi="Arial"/>
                <w:sz w:val="18"/>
              </w:rPr>
              <w:t>Visual Snow Syndrome: translational research programme investigating TMS as a potential therapeutic intervention for Visual Snow Syndrome, combining clinical outcomes with EEG and brain-connectivity measures.</w:t>
            </w:r>
          </w:p>
          <w:p w14:paraId="68B91BCA" w14:textId="5B44D903" w:rsidR="00D4412E" w:rsidRPr="00D4412E" w:rsidRDefault="00D4412E" w:rsidP="00D4412E">
            <w:pPr>
              <w:spacing w:after="20" w:line="240" w:lineRule="auto"/>
              <w:ind w:left="0" w:hanging="2"/>
              <w:jc w:val="both"/>
              <w:rPr>
                <w:rFonts w:ascii="Arial" w:eastAsia="Arial" w:hAnsi="Arial"/>
                <w:sz w:val="18"/>
              </w:rPr>
            </w:pPr>
            <w:r>
              <w:rPr>
                <w:rFonts w:ascii="Arial" w:eastAsia="Arial" w:hAnsi="Arial"/>
                <w:sz w:val="18"/>
              </w:rPr>
              <w:t>-</w:t>
            </w:r>
            <w:r w:rsidRPr="00D4412E">
              <w:rPr>
                <w:rFonts w:ascii="Arial" w:eastAsia="Arial" w:hAnsi="Arial"/>
                <w:sz w:val="18"/>
              </w:rPr>
              <w:t>Multiple sclerosis and cognitive fatigue: ongoing research in patients with multiple sclerosis, including a project funded by the Italian Multiple Sclerosis Foundation (FISM) investigating cognitive fatigue through behavioural, cognitive and neurophysiological measures.</w:t>
            </w:r>
          </w:p>
          <w:p w14:paraId="206BF62B" w14:textId="7B464152" w:rsidR="00D4412E" w:rsidRPr="00D4412E" w:rsidRDefault="00D4412E" w:rsidP="00D4412E">
            <w:pPr>
              <w:spacing w:after="20" w:line="240" w:lineRule="auto"/>
              <w:ind w:left="0" w:hanging="2"/>
              <w:jc w:val="both"/>
              <w:rPr>
                <w:rFonts w:ascii="Arial" w:eastAsia="Arial" w:hAnsi="Arial"/>
                <w:sz w:val="18"/>
              </w:rPr>
            </w:pPr>
            <w:r>
              <w:rPr>
                <w:rFonts w:ascii="Arial" w:eastAsia="Arial" w:hAnsi="Arial"/>
                <w:sz w:val="18"/>
              </w:rPr>
              <w:t>-</w:t>
            </w:r>
            <w:r w:rsidRPr="00D4412E">
              <w:rPr>
                <w:rFonts w:ascii="Arial" w:eastAsia="Arial" w:hAnsi="Arial"/>
                <w:sz w:val="18"/>
              </w:rPr>
              <w:t>Vestibular disorders and cortical neuromodulation: tES studies investigating vestibular cortical function and the potential modulation of vestibular symptoms, postural control and sensory integration in patients with vestibular disorders.</w:t>
            </w:r>
          </w:p>
          <w:p w14:paraId="68CF84AB" w14:textId="5144E2F2" w:rsidR="00D4412E" w:rsidRPr="00D4412E" w:rsidRDefault="00D4412E" w:rsidP="00D4412E">
            <w:pPr>
              <w:spacing w:after="20" w:line="240" w:lineRule="auto"/>
              <w:ind w:left="0" w:hanging="2"/>
              <w:jc w:val="both"/>
              <w:rPr>
                <w:rFonts w:ascii="Arial" w:eastAsia="Arial" w:hAnsi="Arial"/>
                <w:sz w:val="18"/>
              </w:rPr>
            </w:pPr>
            <w:r>
              <w:rPr>
                <w:rFonts w:ascii="Arial" w:eastAsia="Arial" w:hAnsi="Arial"/>
                <w:sz w:val="18"/>
              </w:rPr>
              <w:t>-</w:t>
            </w:r>
            <w:r w:rsidRPr="00D4412E">
              <w:rPr>
                <w:rFonts w:ascii="Arial" w:eastAsia="Arial" w:hAnsi="Arial"/>
                <w:sz w:val="18"/>
              </w:rPr>
              <w:t>Hearing loss and cochlear implants: randomized and feasibility studies using rTMS in patients with age-related sensorineural hearing loss and cochlear implants, demonstrating the group's ability to conduct neuromodulation trials in sensory and rehabilitation populations.</w:t>
            </w:r>
          </w:p>
          <w:p w14:paraId="7C218509" w14:textId="5AC33701" w:rsidR="00D4412E" w:rsidRPr="00D4412E" w:rsidRDefault="00D4412E" w:rsidP="00D4412E">
            <w:pPr>
              <w:spacing w:after="20" w:line="240" w:lineRule="auto"/>
              <w:ind w:left="0" w:hanging="2"/>
              <w:jc w:val="both"/>
              <w:rPr>
                <w:rFonts w:ascii="Arial" w:eastAsia="Arial" w:hAnsi="Arial"/>
                <w:sz w:val="18"/>
              </w:rPr>
            </w:pPr>
            <w:r>
              <w:rPr>
                <w:rFonts w:ascii="Arial" w:eastAsia="Arial" w:hAnsi="Arial"/>
                <w:sz w:val="18"/>
              </w:rPr>
              <w:t>-</w:t>
            </w:r>
            <w:r w:rsidRPr="00D4412E">
              <w:rPr>
                <w:rFonts w:ascii="Arial" w:eastAsia="Arial" w:hAnsi="Arial"/>
                <w:sz w:val="18"/>
              </w:rPr>
              <w:t>Cognitive fatigue, perception and brain-network modulation: experimental studies using tES, including tRNS and tACS, to investigate cognitive fatigue, perceptual processing, learning and brain</w:t>
            </w:r>
            <w:r w:rsidRPr="00D4412E">
              <w:rPr>
                <w:rFonts w:ascii="Arial" w:eastAsia="Arial" w:hAnsi="Arial" w:hint="eastAsia"/>
                <w:sz w:val="18"/>
              </w:rPr>
              <w:t>–</w:t>
            </w:r>
            <w:r w:rsidRPr="00D4412E">
              <w:rPr>
                <w:rFonts w:ascii="Arial" w:eastAsia="Arial" w:hAnsi="Arial"/>
                <w:sz w:val="18"/>
              </w:rPr>
              <w:t>behaviour relationships, with multimodal assessment through EEG, autonomic, behavioural and cognitive measures.</w:t>
            </w:r>
          </w:p>
          <w:p w14:paraId="2CF9A035" w14:textId="0E21FA15" w:rsidR="00D4412E" w:rsidRPr="00D4412E" w:rsidRDefault="00D4412E" w:rsidP="00D4412E">
            <w:pPr>
              <w:spacing w:after="20" w:line="240" w:lineRule="auto"/>
              <w:ind w:left="0" w:hanging="2"/>
              <w:jc w:val="both"/>
              <w:rPr>
                <w:rFonts w:ascii="Arial" w:eastAsia="Arial" w:hAnsi="Arial"/>
                <w:sz w:val="18"/>
              </w:rPr>
            </w:pPr>
            <w:r>
              <w:rPr>
                <w:rFonts w:ascii="Arial" w:eastAsia="Arial" w:hAnsi="Arial"/>
                <w:sz w:val="18"/>
              </w:rPr>
              <w:t>-</w:t>
            </w:r>
            <w:r w:rsidRPr="00D4412E">
              <w:rPr>
                <w:rFonts w:ascii="Arial" w:eastAsia="Arial" w:hAnsi="Arial"/>
                <w:sz w:val="18"/>
              </w:rPr>
              <w:t>Dementia and language disorders: research on non-invasive brain stimulation in neurodegenerative dementias and Primary Progressive Aphasia, including the integration of TMS/tES with cognitive and language rehabilitation approaches.</w:t>
            </w:r>
          </w:p>
          <w:p w14:paraId="7F83E77E" w14:textId="4883AD81" w:rsidR="00D4412E" w:rsidRPr="00D4412E" w:rsidRDefault="00D4412E" w:rsidP="00D4412E">
            <w:pPr>
              <w:spacing w:after="20" w:line="240" w:lineRule="auto"/>
              <w:ind w:left="0" w:hanging="2"/>
              <w:jc w:val="both"/>
              <w:rPr>
                <w:rFonts w:ascii="Arial" w:eastAsia="Arial" w:hAnsi="Arial"/>
                <w:sz w:val="18"/>
              </w:rPr>
            </w:pPr>
            <w:r>
              <w:rPr>
                <w:rFonts w:ascii="Arial" w:eastAsia="Arial" w:hAnsi="Arial"/>
                <w:sz w:val="18"/>
              </w:rPr>
              <w:t>-</w:t>
            </w:r>
            <w:r w:rsidRPr="00D4412E">
              <w:rPr>
                <w:rFonts w:ascii="Arial" w:eastAsia="Arial" w:hAnsi="Arial"/>
                <w:sz w:val="18"/>
              </w:rPr>
              <w:t>Multimodal clinical neuroscience: extensive experience in studies combining TMS/rTMS and tES with EEG, TMS</w:t>
            </w:r>
            <w:r w:rsidRPr="00D4412E">
              <w:rPr>
                <w:rFonts w:ascii="Arial" w:eastAsia="Arial" w:hAnsi="Arial" w:hint="eastAsia"/>
                <w:sz w:val="18"/>
              </w:rPr>
              <w:t>–</w:t>
            </w:r>
            <w:r w:rsidRPr="00D4412E">
              <w:rPr>
                <w:rFonts w:ascii="Arial" w:eastAsia="Arial" w:hAnsi="Arial"/>
                <w:sz w:val="18"/>
              </w:rPr>
              <w:t>EEG, cortical excitability measures, fMRI, autonomic physiology, neuropsychological assessment and behavioural outcomes across neurological and sensory disorders.</w:t>
            </w:r>
          </w:p>
          <w:p w14:paraId="5FCDD10D" w14:textId="5354D7C4" w:rsidR="00D027BE" w:rsidRDefault="00D4412E" w:rsidP="00D4412E">
            <w:pPr>
              <w:spacing w:after="20" w:line="240" w:lineRule="auto"/>
              <w:ind w:left="0" w:hanging="2"/>
              <w:jc w:val="both"/>
            </w:pPr>
            <w:r>
              <w:rPr>
                <w:rFonts w:ascii="Arial" w:eastAsia="Arial" w:hAnsi="Arial"/>
                <w:sz w:val="18"/>
              </w:rPr>
              <w:t>-E</w:t>
            </w:r>
            <w:r w:rsidRPr="00D4412E">
              <w:rPr>
                <w:rFonts w:ascii="Arial" w:eastAsia="Arial" w:hAnsi="Arial"/>
                <w:sz w:val="18"/>
              </w:rPr>
              <w:t>uropean and international research collaborations: participation in EU-funded research, including the Horizon 2020 EXPERIENCE project, and collaborations with leading international neuroscience centres on neuromodulation, neuroimaging and precision brain stimulation.</w:t>
            </w:r>
          </w:p>
        </w:tc>
      </w:tr>
      <w:tr w:rsidR="001471BF" w14:paraId="2B21CF84" w14:textId="77777777">
        <w:trPr>
          <w:cantSplit/>
          <w:trHeight w:val="894"/>
        </w:trPr>
        <w:tc>
          <w:tcPr>
            <w:tcW w:w="2410" w:type="dxa"/>
          </w:tcPr>
          <w:p w14:paraId="3DE9ECE3" w14:textId="77777777" w:rsidR="001471BF" w:rsidRDefault="00000000">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b/>
                <w:color w:val="000000"/>
                <w:sz w:val="20"/>
                <w:szCs w:val="20"/>
              </w:rPr>
              <w:t xml:space="preserve">Short Description of the Project idea </w:t>
            </w:r>
          </w:p>
          <w:p w14:paraId="5231A518" w14:textId="77777777" w:rsidR="001471BF" w:rsidRDefault="001471BF">
            <w:pPr>
              <w:pBdr>
                <w:top w:val="nil"/>
                <w:left w:val="nil"/>
                <w:bottom w:val="nil"/>
                <w:right w:val="nil"/>
                <w:between w:val="nil"/>
              </w:pBdr>
              <w:spacing w:line="240" w:lineRule="auto"/>
              <w:ind w:left="0" w:hanging="2"/>
              <w:jc w:val="both"/>
              <w:rPr>
                <w:rFonts w:ascii="Arial" w:eastAsia="Arial" w:hAnsi="Arial" w:cs="Arial"/>
                <w:color w:val="000000"/>
                <w:sz w:val="20"/>
                <w:szCs w:val="20"/>
              </w:rPr>
            </w:pPr>
          </w:p>
        </w:tc>
        <w:tc>
          <w:tcPr>
            <w:tcW w:w="7371" w:type="dxa"/>
          </w:tcPr>
          <w:p w14:paraId="55976162" w14:textId="78E66CEA" w:rsidR="00D027BE" w:rsidRDefault="00D4412E" w:rsidP="00296E21">
            <w:pPr>
              <w:spacing w:line="240" w:lineRule="auto"/>
              <w:ind w:left="0" w:hanging="2"/>
              <w:jc w:val="both"/>
            </w:pPr>
            <w:r>
              <w:rPr>
                <w:rFonts w:ascii="Arial" w:eastAsia="Arial" w:hAnsi="Arial"/>
                <w:sz w:val="18"/>
              </w:rPr>
              <w:t>-SIBINLAB is seeking to join international consortia that require a strong clinical-neuroscience and neuromodulation partner. We can contribute access to well-characterized patient cohorts together with an integrated platform for intervention studies and multimodal outcome assessment.</w:t>
            </w:r>
          </w:p>
          <w:p w14:paraId="2B7FDA60" w14:textId="44D80E42" w:rsidR="00D027BE" w:rsidRDefault="00296E21" w:rsidP="00296E21">
            <w:pPr>
              <w:spacing w:line="240" w:lineRule="auto"/>
              <w:ind w:left="0" w:hanging="2"/>
              <w:jc w:val="both"/>
            </w:pPr>
            <w:r>
              <w:rPr>
                <w:rFonts w:ascii="Arial" w:eastAsia="Arial" w:hAnsi="Arial"/>
                <w:sz w:val="18"/>
              </w:rPr>
              <w:t>-Depending on the project, SIBINLAB can provide patient recruitment and clinical characterization; TMS/rTMS and tES interventions; EEG and TMS-EEG; cortical excitability measures (MEP, SICI, ICF); autonomic monitoring (GSR/EDA, ECG); cognitive, neuropsychological, psychological and behavioural outcomes; and multimodal integration with fMRI.</w:t>
            </w:r>
          </w:p>
          <w:p w14:paraId="62E94C52" w14:textId="2FA7C654" w:rsidR="00D027BE" w:rsidRDefault="00296E21" w:rsidP="00296E21">
            <w:pPr>
              <w:spacing w:line="240" w:lineRule="auto"/>
              <w:ind w:left="0" w:hanging="2"/>
              <w:jc w:val="both"/>
            </w:pPr>
            <w:r>
              <w:rPr>
                <w:rFonts w:ascii="Arial" w:eastAsia="Arial" w:hAnsi="Arial"/>
                <w:sz w:val="18"/>
              </w:rPr>
              <w:t>-We are particularly interested in projects on brain health, neurodegeneration, sensory disorders, neuroplasticity, precision interventions, rehabilitation, digital therapeutics and treatment-response biomarkers. Our hospital-integrated setting is particularly suited to clinical validation, experimental medicine, feasibility studies and randomized trials.</w:t>
            </w:r>
          </w:p>
        </w:tc>
      </w:tr>
      <w:tr w:rsidR="001471BF" w14:paraId="44CDE25E" w14:textId="77777777">
        <w:trPr>
          <w:cantSplit/>
          <w:trHeight w:val="894"/>
        </w:trPr>
        <w:tc>
          <w:tcPr>
            <w:tcW w:w="2410" w:type="dxa"/>
          </w:tcPr>
          <w:p w14:paraId="4B22B9BE" w14:textId="77777777" w:rsidR="001471BF" w:rsidRDefault="00000000">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b/>
                <w:color w:val="000000"/>
                <w:sz w:val="20"/>
                <w:szCs w:val="20"/>
              </w:rPr>
              <w:t xml:space="preserve">Partnership interest </w:t>
            </w:r>
            <w:r>
              <w:rPr>
                <w:rFonts w:ascii="Arial" w:eastAsia="Arial" w:hAnsi="Arial" w:cs="Arial"/>
                <w:color w:val="000000"/>
                <w:sz w:val="20"/>
                <w:szCs w:val="20"/>
              </w:rPr>
              <w:t>(tick one)</w:t>
            </w:r>
          </w:p>
        </w:tc>
        <w:tc>
          <w:tcPr>
            <w:tcW w:w="7371" w:type="dxa"/>
          </w:tcPr>
          <w:p w14:paraId="0E3C901C" w14:textId="77777777" w:rsidR="00D027BE" w:rsidRDefault="00000000">
            <w:pPr>
              <w:spacing w:line="240" w:lineRule="auto"/>
              <w:ind w:left="0" w:hanging="2"/>
            </w:pPr>
            <w:r>
              <w:rPr>
                <w:rFonts w:ascii="Arial" w:eastAsia="Arial" w:hAnsi="Arial"/>
                <w:sz w:val="20"/>
              </w:rPr>
              <w:t>☐ Consortium leader looking for partners</w:t>
            </w:r>
          </w:p>
          <w:p w14:paraId="44712CBB" w14:textId="77777777" w:rsidR="00D027BE" w:rsidRDefault="00000000">
            <w:pPr>
              <w:spacing w:line="240" w:lineRule="auto"/>
              <w:ind w:left="0" w:hanging="2"/>
            </w:pPr>
            <w:r>
              <w:rPr>
                <w:rFonts w:ascii="Arial" w:eastAsia="Arial" w:hAnsi="Arial"/>
                <w:sz w:val="20"/>
              </w:rPr>
              <w:t>x Partner looking for consortium/consortium leader</w:t>
            </w:r>
          </w:p>
        </w:tc>
      </w:tr>
    </w:tbl>
    <w:p w14:paraId="29720139" w14:textId="77777777" w:rsidR="001471BF" w:rsidRDefault="001471BF">
      <w:pPr>
        <w:pBdr>
          <w:top w:val="nil"/>
          <w:left w:val="nil"/>
          <w:bottom w:val="nil"/>
          <w:right w:val="nil"/>
          <w:between w:val="nil"/>
        </w:pBdr>
        <w:spacing w:line="240" w:lineRule="auto"/>
        <w:ind w:left="0" w:hanging="2"/>
        <w:rPr>
          <w:rFonts w:eastAsia="Amerigo BT" w:cs="Amerigo BT"/>
          <w:color w:val="000000"/>
        </w:rPr>
      </w:pPr>
    </w:p>
    <w:p w14:paraId="15A5AFB7" w14:textId="77777777" w:rsidR="001471BF" w:rsidRDefault="00000000">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APRE - Horizon Europe (HE) Partner Search Policy Privacy:</w:t>
      </w:r>
    </w:p>
    <w:p w14:paraId="1052C850" w14:textId="77777777" w:rsidR="001471BF" w:rsidRDefault="00000000">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 xml:space="preserve">Data collected through this application form will be shared with the HE National Contact Points in order to ease the building of consortia interested in participating in HE proposals. Submitting this module, you accept to share data with HE </w:t>
      </w:r>
      <w:r>
        <w:rPr>
          <w:rFonts w:ascii="Arial" w:eastAsia="Arial" w:hAnsi="Arial" w:cs="Arial"/>
          <w:sz w:val="16"/>
          <w:szCs w:val="16"/>
        </w:rPr>
        <w:t>N</w:t>
      </w:r>
      <w:r>
        <w:rPr>
          <w:rFonts w:ascii="Arial" w:eastAsia="Arial" w:hAnsi="Arial" w:cs="Arial"/>
          <w:color w:val="000000"/>
          <w:sz w:val="16"/>
          <w:szCs w:val="16"/>
        </w:rPr>
        <w:t xml:space="preserve">ational Contact </w:t>
      </w:r>
      <w:r>
        <w:rPr>
          <w:rFonts w:ascii="Arial" w:eastAsia="Arial" w:hAnsi="Arial" w:cs="Arial"/>
          <w:color w:val="000000"/>
          <w:sz w:val="16"/>
          <w:szCs w:val="16"/>
        </w:rPr>
        <w:lastRenderedPageBreak/>
        <w:t xml:space="preserve">Points and third organizations for the above mentioned purposes. For the general Privacy Policy APRE, please refers to the general policy available at this link: </w:t>
      </w:r>
      <w:hyperlink r:id="rId8">
        <w:r w:rsidR="001471BF">
          <w:rPr>
            <w:rFonts w:ascii="Arial" w:eastAsia="Arial" w:hAnsi="Arial" w:cs="Arial"/>
            <w:i/>
            <w:color w:val="0000FF"/>
            <w:sz w:val="16"/>
            <w:szCs w:val="16"/>
            <w:u w:val="single"/>
          </w:rPr>
          <w:t>http://www.apre.it/privacy-policy-apre-(en)/</w:t>
        </w:r>
      </w:hyperlink>
      <w:r>
        <w:rPr>
          <w:rFonts w:ascii="Arial" w:eastAsia="Arial" w:hAnsi="Arial" w:cs="Arial"/>
          <w:color w:val="000000"/>
          <w:sz w:val="16"/>
          <w:szCs w:val="16"/>
        </w:rPr>
        <w:t xml:space="preserve"> </w:t>
      </w:r>
    </w:p>
    <w:sectPr w:rsidR="001471BF">
      <w:headerReference w:type="even" r:id="rId9"/>
      <w:headerReference w:type="default" r:id="rId10"/>
      <w:pgSz w:w="11906" w:h="16838"/>
      <w:pgMar w:top="1418" w:right="1418" w:bottom="1134" w:left="1418"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6B062" w14:textId="77777777" w:rsidR="006A5E4D" w:rsidRDefault="006A5E4D">
      <w:pPr>
        <w:spacing w:line="240" w:lineRule="auto"/>
        <w:ind w:left="0" w:hanging="2"/>
      </w:pPr>
      <w:r>
        <w:separator/>
      </w:r>
    </w:p>
  </w:endnote>
  <w:endnote w:type="continuationSeparator" w:id="0">
    <w:p w14:paraId="60777EF6" w14:textId="77777777" w:rsidR="006A5E4D" w:rsidRDefault="006A5E4D">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merigo BT">
    <w:altName w:val="Calibri"/>
    <w:charset w:val="00"/>
    <w:family w:val="auto"/>
    <w:pitch w:val="default"/>
  </w:font>
  <w:font w:name="Futura Md BT">
    <w:altName w:val="Century Gothic"/>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1C023" w14:textId="77777777" w:rsidR="006A5E4D" w:rsidRDefault="006A5E4D">
      <w:pPr>
        <w:spacing w:line="240" w:lineRule="auto"/>
        <w:ind w:left="0" w:hanging="2"/>
      </w:pPr>
      <w:r>
        <w:separator/>
      </w:r>
    </w:p>
  </w:footnote>
  <w:footnote w:type="continuationSeparator" w:id="0">
    <w:p w14:paraId="7D242388" w14:textId="77777777" w:rsidR="006A5E4D" w:rsidRDefault="006A5E4D">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30E51" w14:textId="77777777" w:rsidR="001471BF" w:rsidRDefault="001471BF">
    <w:pPr>
      <w:pBdr>
        <w:top w:val="nil"/>
        <w:left w:val="nil"/>
        <w:bottom w:val="nil"/>
        <w:right w:val="nil"/>
        <w:between w:val="nil"/>
      </w:pBdr>
      <w:spacing w:line="240" w:lineRule="auto"/>
      <w:ind w:left="0" w:hanging="2"/>
      <w:rPr>
        <w:rFonts w:eastAsia="Amerigo BT" w:cs="Amerigo BT"/>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A83C3" w14:textId="77777777" w:rsidR="001471BF" w:rsidRDefault="00000000">
    <w:pPr>
      <w:keepNext/>
      <w:pBdr>
        <w:top w:val="nil"/>
        <w:left w:val="nil"/>
        <w:bottom w:val="nil"/>
        <w:right w:val="nil"/>
        <w:between w:val="nil"/>
      </w:pBdr>
      <w:spacing w:line="240" w:lineRule="auto"/>
      <w:ind w:left="0" w:hanging="2"/>
      <w:jc w:val="center"/>
      <w:rPr>
        <w:rFonts w:ascii="Arial" w:eastAsia="Arial" w:hAnsi="Arial" w:cs="Arial"/>
        <w:b/>
        <w:color w:val="000000"/>
        <w:sz w:val="36"/>
        <w:szCs w:val="36"/>
      </w:rPr>
    </w:pPr>
    <w:r>
      <w:rPr>
        <w:rFonts w:ascii="Arial" w:eastAsia="Arial" w:hAnsi="Arial" w:cs="Arial"/>
        <w:b/>
        <w:smallCaps/>
        <w:noProof/>
        <w:color w:val="000000"/>
        <w:sz w:val="20"/>
        <w:szCs w:val="20"/>
      </w:rPr>
      <w:drawing>
        <wp:anchor distT="0" distB="0" distL="114300" distR="114300" simplePos="0" relativeHeight="251658240" behindDoc="0" locked="0" layoutInCell="1" hidden="0" allowOverlap="1" wp14:anchorId="02ECFD0B" wp14:editId="58B44997">
          <wp:simplePos x="0" y="0"/>
          <wp:positionH relativeFrom="leftMargin">
            <wp:posOffset>-476249</wp:posOffset>
          </wp:positionH>
          <wp:positionV relativeFrom="topMargin">
            <wp:posOffset>-723899</wp:posOffset>
          </wp:positionV>
          <wp:extent cx="1400175" cy="552450"/>
          <wp:effectExtent l="0" t="0" r="0" b="0"/>
          <wp:wrapSquare wrapText="bothSides" distT="0" distB="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400175" cy="552450"/>
                  </a:xfrm>
                  <a:prstGeom prst="rect">
                    <a:avLst/>
                  </a:prstGeom>
                  <a:ln/>
                </pic:spPr>
              </pic:pic>
            </a:graphicData>
          </a:graphic>
        </wp:anchor>
      </w:drawing>
    </w:r>
    <w:r>
      <w:rPr>
        <w:rFonts w:ascii="Arial" w:eastAsia="Arial" w:hAnsi="Arial" w:cs="Arial"/>
        <w:b/>
        <w:color w:val="000000"/>
        <w:sz w:val="36"/>
        <w:szCs w:val="36"/>
      </w:rPr>
      <w:t>Partner Profile Horizon Europe</w:t>
    </w:r>
  </w:p>
  <w:p w14:paraId="7A7D7FB7" w14:textId="77777777" w:rsidR="001471BF" w:rsidRDefault="001471BF">
    <w:pPr>
      <w:pBdr>
        <w:top w:val="nil"/>
        <w:left w:val="nil"/>
        <w:bottom w:val="nil"/>
        <w:right w:val="nil"/>
        <w:between w:val="nil"/>
      </w:pBdr>
      <w:tabs>
        <w:tab w:val="center" w:pos="4536"/>
        <w:tab w:val="right" w:pos="9072"/>
      </w:tabs>
      <w:spacing w:line="240" w:lineRule="auto"/>
      <w:ind w:left="0" w:hanging="2"/>
      <w:jc w:val="right"/>
      <w:rPr>
        <w:rFonts w:eastAsia="Amerigo BT" w:cs="Amerigo BT"/>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E17AE"/>
    <w:multiLevelType w:val="multilevel"/>
    <w:tmpl w:val="23FE186A"/>
    <w:lvl w:ilvl="0">
      <w:start w:val="1"/>
      <w:numFmt w:val="decimal"/>
      <w:pStyle w:val="CarattereCarattereCarattereCarattereCarattereCaratter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7996E13"/>
    <w:multiLevelType w:val="hybridMultilevel"/>
    <w:tmpl w:val="051E9B00"/>
    <w:lvl w:ilvl="0" w:tplc="E738F89C">
      <w:numFmt w:val="bullet"/>
      <w:lvlText w:val="-"/>
      <w:lvlJc w:val="left"/>
      <w:pPr>
        <w:ind w:left="358" w:hanging="360"/>
      </w:pPr>
      <w:rPr>
        <w:rFonts w:ascii="Arial" w:eastAsia="Arial" w:hAnsi="Arial" w:cs="Arial" w:hint="default"/>
      </w:rPr>
    </w:lvl>
    <w:lvl w:ilvl="1" w:tplc="04100003" w:tentative="1">
      <w:start w:val="1"/>
      <w:numFmt w:val="bullet"/>
      <w:lvlText w:val="o"/>
      <w:lvlJc w:val="left"/>
      <w:pPr>
        <w:ind w:left="1078" w:hanging="360"/>
      </w:pPr>
      <w:rPr>
        <w:rFonts w:ascii="Courier New" w:hAnsi="Courier New" w:cs="Courier New" w:hint="default"/>
      </w:rPr>
    </w:lvl>
    <w:lvl w:ilvl="2" w:tplc="04100005" w:tentative="1">
      <w:start w:val="1"/>
      <w:numFmt w:val="bullet"/>
      <w:lvlText w:val=""/>
      <w:lvlJc w:val="left"/>
      <w:pPr>
        <w:ind w:left="1798" w:hanging="360"/>
      </w:pPr>
      <w:rPr>
        <w:rFonts w:ascii="Wingdings" w:hAnsi="Wingdings" w:hint="default"/>
      </w:rPr>
    </w:lvl>
    <w:lvl w:ilvl="3" w:tplc="04100001" w:tentative="1">
      <w:start w:val="1"/>
      <w:numFmt w:val="bullet"/>
      <w:lvlText w:val=""/>
      <w:lvlJc w:val="left"/>
      <w:pPr>
        <w:ind w:left="2518" w:hanging="360"/>
      </w:pPr>
      <w:rPr>
        <w:rFonts w:ascii="Symbol" w:hAnsi="Symbol" w:hint="default"/>
      </w:rPr>
    </w:lvl>
    <w:lvl w:ilvl="4" w:tplc="04100003" w:tentative="1">
      <w:start w:val="1"/>
      <w:numFmt w:val="bullet"/>
      <w:lvlText w:val="o"/>
      <w:lvlJc w:val="left"/>
      <w:pPr>
        <w:ind w:left="3238" w:hanging="360"/>
      </w:pPr>
      <w:rPr>
        <w:rFonts w:ascii="Courier New" w:hAnsi="Courier New" w:cs="Courier New" w:hint="default"/>
      </w:rPr>
    </w:lvl>
    <w:lvl w:ilvl="5" w:tplc="04100005" w:tentative="1">
      <w:start w:val="1"/>
      <w:numFmt w:val="bullet"/>
      <w:lvlText w:val=""/>
      <w:lvlJc w:val="left"/>
      <w:pPr>
        <w:ind w:left="3958" w:hanging="360"/>
      </w:pPr>
      <w:rPr>
        <w:rFonts w:ascii="Wingdings" w:hAnsi="Wingdings" w:hint="default"/>
      </w:rPr>
    </w:lvl>
    <w:lvl w:ilvl="6" w:tplc="04100001" w:tentative="1">
      <w:start w:val="1"/>
      <w:numFmt w:val="bullet"/>
      <w:lvlText w:val=""/>
      <w:lvlJc w:val="left"/>
      <w:pPr>
        <w:ind w:left="4678" w:hanging="360"/>
      </w:pPr>
      <w:rPr>
        <w:rFonts w:ascii="Symbol" w:hAnsi="Symbol" w:hint="default"/>
      </w:rPr>
    </w:lvl>
    <w:lvl w:ilvl="7" w:tplc="04100003" w:tentative="1">
      <w:start w:val="1"/>
      <w:numFmt w:val="bullet"/>
      <w:lvlText w:val="o"/>
      <w:lvlJc w:val="left"/>
      <w:pPr>
        <w:ind w:left="5398" w:hanging="360"/>
      </w:pPr>
      <w:rPr>
        <w:rFonts w:ascii="Courier New" w:hAnsi="Courier New" w:cs="Courier New" w:hint="default"/>
      </w:rPr>
    </w:lvl>
    <w:lvl w:ilvl="8" w:tplc="04100005" w:tentative="1">
      <w:start w:val="1"/>
      <w:numFmt w:val="bullet"/>
      <w:lvlText w:val=""/>
      <w:lvlJc w:val="left"/>
      <w:pPr>
        <w:ind w:left="6118" w:hanging="360"/>
      </w:pPr>
      <w:rPr>
        <w:rFonts w:ascii="Wingdings" w:hAnsi="Wingdings" w:hint="default"/>
      </w:rPr>
    </w:lvl>
  </w:abstractNum>
  <w:abstractNum w:abstractNumId="2" w15:restartNumberingAfterBreak="0">
    <w:nsid w:val="23D37C03"/>
    <w:multiLevelType w:val="hybridMultilevel"/>
    <w:tmpl w:val="D63E96DA"/>
    <w:lvl w:ilvl="0" w:tplc="37307436">
      <w:numFmt w:val="bullet"/>
      <w:lvlText w:val="-"/>
      <w:lvlJc w:val="left"/>
      <w:pPr>
        <w:ind w:left="358" w:hanging="360"/>
      </w:pPr>
      <w:rPr>
        <w:rFonts w:ascii="Arial" w:eastAsia="Arial" w:hAnsi="Arial" w:cs="Arial" w:hint="default"/>
      </w:rPr>
    </w:lvl>
    <w:lvl w:ilvl="1" w:tplc="04100003" w:tentative="1">
      <w:start w:val="1"/>
      <w:numFmt w:val="bullet"/>
      <w:lvlText w:val="o"/>
      <w:lvlJc w:val="left"/>
      <w:pPr>
        <w:ind w:left="1078" w:hanging="360"/>
      </w:pPr>
      <w:rPr>
        <w:rFonts w:ascii="Courier New" w:hAnsi="Courier New" w:cs="Courier New" w:hint="default"/>
      </w:rPr>
    </w:lvl>
    <w:lvl w:ilvl="2" w:tplc="04100005" w:tentative="1">
      <w:start w:val="1"/>
      <w:numFmt w:val="bullet"/>
      <w:lvlText w:val=""/>
      <w:lvlJc w:val="left"/>
      <w:pPr>
        <w:ind w:left="1798" w:hanging="360"/>
      </w:pPr>
      <w:rPr>
        <w:rFonts w:ascii="Wingdings" w:hAnsi="Wingdings" w:hint="default"/>
      </w:rPr>
    </w:lvl>
    <w:lvl w:ilvl="3" w:tplc="04100001" w:tentative="1">
      <w:start w:val="1"/>
      <w:numFmt w:val="bullet"/>
      <w:lvlText w:val=""/>
      <w:lvlJc w:val="left"/>
      <w:pPr>
        <w:ind w:left="2518" w:hanging="360"/>
      </w:pPr>
      <w:rPr>
        <w:rFonts w:ascii="Symbol" w:hAnsi="Symbol" w:hint="default"/>
      </w:rPr>
    </w:lvl>
    <w:lvl w:ilvl="4" w:tplc="04100003" w:tentative="1">
      <w:start w:val="1"/>
      <w:numFmt w:val="bullet"/>
      <w:lvlText w:val="o"/>
      <w:lvlJc w:val="left"/>
      <w:pPr>
        <w:ind w:left="3238" w:hanging="360"/>
      </w:pPr>
      <w:rPr>
        <w:rFonts w:ascii="Courier New" w:hAnsi="Courier New" w:cs="Courier New" w:hint="default"/>
      </w:rPr>
    </w:lvl>
    <w:lvl w:ilvl="5" w:tplc="04100005" w:tentative="1">
      <w:start w:val="1"/>
      <w:numFmt w:val="bullet"/>
      <w:lvlText w:val=""/>
      <w:lvlJc w:val="left"/>
      <w:pPr>
        <w:ind w:left="3958" w:hanging="360"/>
      </w:pPr>
      <w:rPr>
        <w:rFonts w:ascii="Wingdings" w:hAnsi="Wingdings" w:hint="default"/>
      </w:rPr>
    </w:lvl>
    <w:lvl w:ilvl="6" w:tplc="04100001" w:tentative="1">
      <w:start w:val="1"/>
      <w:numFmt w:val="bullet"/>
      <w:lvlText w:val=""/>
      <w:lvlJc w:val="left"/>
      <w:pPr>
        <w:ind w:left="4678" w:hanging="360"/>
      </w:pPr>
      <w:rPr>
        <w:rFonts w:ascii="Symbol" w:hAnsi="Symbol" w:hint="default"/>
      </w:rPr>
    </w:lvl>
    <w:lvl w:ilvl="7" w:tplc="04100003" w:tentative="1">
      <w:start w:val="1"/>
      <w:numFmt w:val="bullet"/>
      <w:lvlText w:val="o"/>
      <w:lvlJc w:val="left"/>
      <w:pPr>
        <w:ind w:left="5398" w:hanging="360"/>
      </w:pPr>
      <w:rPr>
        <w:rFonts w:ascii="Courier New" w:hAnsi="Courier New" w:cs="Courier New" w:hint="default"/>
      </w:rPr>
    </w:lvl>
    <w:lvl w:ilvl="8" w:tplc="04100005" w:tentative="1">
      <w:start w:val="1"/>
      <w:numFmt w:val="bullet"/>
      <w:lvlText w:val=""/>
      <w:lvlJc w:val="left"/>
      <w:pPr>
        <w:ind w:left="6118" w:hanging="360"/>
      </w:pPr>
      <w:rPr>
        <w:rFonts w:ascii="Wingdings" w:hAnsi="Wingdings" w:hint="default"/>
      </w:rPr>
    </w:lvl>
  </w:abstractNum>
  <w:abstractNum w:abstractNumId="3" w15:restartNumberingAfterBreak="0">
    <w:nsid w:val="707633A8"/>
    <w:multiLevelType w:val="hybridMultilevel"/>
    <w:tmpl w:val="101EAA92"/>
    <w:lvl w:ilvl="0" w:tplc="F7A2B8C6">
      <w:numFmt w:val="bullet"/>
      <w:lvlText w:val="-"/>
      <w:lvlJc w:val="left"/>
      <w:pPr>
        <w:ind w:left="358" w:hanging="360"/>
      </w:pPr>
      <w:rPr>
        <w:rFonts w:ascii="Arial" w:eastAsia="Arial" w:hAnsi="Arial" w:cs="Arial" w:hint="default"/>
      </w:rPr>
    </w:lvl>
    <w:lvl w:ilvl="1" w:tplc="04100003" w:tentative="1">
      <w:start w:val="1"/>
      <w:numFmt w:val="bullet"/>
      <w:lvlText w:val="o"/>
      <w:lvlJc w:val="left"/>
      <w:pPr>
        <w:ind w:left="1078" w:hanging="360"/>
      </w:pPr>
      <w:rPr>
        <w:rFonts w:ascii="Courier New" w:hAnsi="Courier New" w:cs="Courier New" w:hint="default"/>
      </w:rPr>
    </w:lvl>
    <w:lvl w:ilvl="2" w:tplc="04100005" w:tentative="1">
      <w:start w:val="1"/>
      <w:numFmt w:val="bullet"/>
      <w:lvlText w:val=""/>
      <w:lvlJc w:val="left"/>
      <w:pPr>
        <w:ind w:left="1798" w:hanging="360"/>
      </w:pPr>
      <w:rPr>
        <w:rFonts w:ascii="Wingdings" w:hAnsi="Wingdings" w:hint="default"/>
      </w:rPr>
    </w:lvl>
    <w:lvl w:ilvl="3" w:tplc="04100001" w:tentative="1">
      <w:start w:val="1"/>
      <w:numFmt w:val="bullet"/>
      <w:lvlText w:val=""/>
      <w:lvlJc w:val="left"/>
      <w:pPr>
        <w:ind w:left="2518" w:hanging="360"/>
      </w:pPr>
      <w:rPr>
        <w:rFonts w:ascii="Symbol" w:hAnsi="Symbol" w:hint="default"/>
      </w:rPr>
    </w:lvl>
    <w:lvl w:ilvl="4" w:tplc="04100003" w:tentative="1">
      <w:start w:val="1"/>
      <w:numFmt w:val="bullet"/>
      <w:lvlText w:val="o"/>
      <w:lvlJc w:val="left"/>
      <w:pPr>
        <w:ind w:left="3238" w:hanging="360"/>
      </w:pPr>
      <w:rPr>
        <w:rFonts w:ascii="Courier New" w:hAnsi="Courier New" w:cs="Courier New" w:hint="default"/>
      </w:rPr>
    </w:lvl>
    <w:lvl w:ilvl="5" w:tplc="04100005" w:tentative="1">
      <w:start w:val="1"/>
      <w:numFmt w:val="bullet"/>
      <w:lvlText w:val=""/>
      <w:lvlJc w:val="left"/>
      <w:pPr>
        <w:ind w:left="3958" w:hanging="360"/>
      </w:pPr>
      <w:rPr>
        <w:rFonts w:ascii="Wingdings" w:hAnsi="Wingdings" w:hint="default"/>
      </w:rPr>
    </w:lvl>
    <w:lvl w:ilvl="6" w:tplc="04100001" w:tentative="1">
      <w:start w:val="1"/>
      <w:numFmt w:val="bullet"/>
      <w:lvlText w:val=""/>
      <w:lvlJc w:val="left"/>
      <w:pPr>
        <w:ind w:left="4678" w:hanging="360"/>
      </w:pPr>
      <w:rPr>
        <w:rFonts w:ascii="Symbol" w:hAnsi="Symbol" w:hint="default"/>
      </w:rPr>
    </w:lvl>
    <w:lvl w:ilvl="7" w:tplc="04100003" w:tentative="1">
      <w:start w:val="1"/>
      <w:numFmt w:val="bullet"/>
      <w:lvlText w:val="o"/>
      <w:lvlJc w:val="left"/>
      <w:pPr>
        <w:ind w:left="5398" w:hanging="360"/>
      </w:pPr>
      <w:rPr>
        <w:rFonts w:ascii="Courier New" w:hAnsi="Courier New" w:cs="Courier New" w:hint="default"/>
      </w:rPr>
    </w:lvl>
    <w:lvl w:ilvl="8" w:tplc="04100005" w:tentative="1">
      <w:start w:val="1"/>
      <w:numFmt w:val="bullet"/>
      <w:lvlText w:val=""/>
      <w:lvlJc w:val="left"/>
      <w:pPr>
        <w:ind w:left="6118" w:hanging="360"/>
      </w:pPr>
      <w:rPr>
        <w:rFonts w:ascii="Wingdings" w:hAnsi="Wingdings" w:hint="default"/>
      </w:rPr>
    </w:lvl>
  </w:abstractNum>
  <w:abstractNum w:abstractNumId="4" w15:restartNumberingAfterBreak="0">
    <w:nsid w:val="79905710"/>
    <w:multiLevelType w:val="hybridMultilevel"/>
    <w:tmpl w:val="E37246A2"/>
    <w:lvl w:ilvl="0" w:tplc="105E661E">
      <w:numFmt w:val="bullet"/>
      <w:lvlText w:val="-"/>
      <w:lvlJc w:val="left"/>
      <w:pPr>
        <w:ind w:left="358" w:hanging="360"/>
      </w:pPr>
      <w:rPr>
        <w:rFonts w:ascii="Arial" w:eastAsia="Arial" w:hAnsi="Arial" w:cs="Arial" w:hint="default"/>
      </w:rPr>
    </w:lvl>
    <w:lvl w:ilvl="1" w:tplc="04100003" w:tentative="1">
      <w:start w:val="1"/>
      <w:numFmt w:val="bullet"/>
      <w:lvlText w:val="o"/>
      <w:lvlJc w:val="left"/>
      <w:pPr>
        <w:ind w:left="1078" w:hanging="360"/>
      </w:pPr>
      <w:rPr>
        <w:rFonts w:ascii="Courier New" w:hAnsi="Courier New" w:cs="Courier New" w:hint="default"/>
      </w:rPr>
    </w:lvl>
    <w:lvl w:ilvl="2" w:tplc="04100005" w:tentative="1">
      <w:start w:val="1"/>
      <w:numFmt w:val="bullet"/>
      <w:lvlText w:val=""/>
      <w:lvlJc w:val="left"/>
      <w:pPr>
        <w:ind w:left="1798" w:hanging="360"/>
      </w:pPr>
      <w:rPr>
        <w:rFonts w:ascii="Wingdings" w:hAnsi="Wingdings" w:hint="default"/>
      </w:rPr>
    </w:lvl>
    <w:lvl w:ilvl="3" w:tplc="04100001" w:tentative="1">
      <w:start w:val="1"/>
      <w:numFmt w:val="bullet"/>
      <w:lvlText w:val=""/>
      <w:lvlJc w:val="left"/>
      <w:pPr>
        <w:ind w:left="2518" w:hanging="360"/>
      </w:pPr>
      <w:rPr>
        <w:rFonts w:ascii="Symbol" w:hAnsi="Symbol" w:hint="default"/>
      </w:rPr>
    </w:lvl>
    <w:lvl w:ilvl="4" w:tplc="04100003" w:tentative="1">
      <w:start w:val="1"/>
      <w:numFmt w:val="bullet"/>
      <w:lvlText w:val="o"/>
      <w:lvlJc w:val="left"/>
      <w:pPr>
        <w:ind w:left="3238" w:hanging="360"/>
      </w:pPr>
      <w:rPr>
        <w:rFonts w:ascii="Courier New" w:hAnsi="Courier New" w:cs="Courier New" w:hint="default"/>
      </w:rPr>
    </w:lvl>
    <w:lvl w:ilvl="5" w:tplc="04100005" w:tentative="1">
      <w:start w:val="1"/>
      <w:numFmt w:val="bullet"/>
      <w:lvlText w:val=""/>
      <w:lvlJc w:val="left"/>
      <w:pPr>
        <w:ind w:left="3958" w:hanging="360"/>
      </w:pPr>
      <w:rPr>
        <w:rFonts w:ascii="Wingdings" w:hAnsi="Wingdings" w:hint="default"/>
      </w:rPr>
    </w:lvl>
    <w:lvl w:ilvl="6" w:tplc="04100001" w:tentative="1">
      <w:start w:val="1"/>
      <w:numFmt w:val="bullet"/>
      <w:lvlText w:val=""/>
      <w:lvlJc w:val="left"/>
      <w:pPr>
        <w:ind w:left="4678" w:hanging="360"/>
      </w:pPr>
      <w:rPr>
        <w:rFonts w:ascii="Symbol" w:hAnsi="Symbol" w:hint="default"/>
      </w:rPr>
    </w:lvl>
    <w:lvl w:ilvl="7" w:tplc="04100003" w:tentative="1">
      <w:start w:val="1"/>
      <w:numFmt w:val="bullet"/>
      <w:lvlText w:val="o"/>
      <w:lvlJc w:val="left"/>
      <w:pPr>
        <w:ind w:left="5398" w:hanging="360"/>
      </w:pPr>
      <w:rPr>
        <w:rFonts w:ascii="Courier New" w:hAnsi="Courier New" w:cs="Courier New" w:hint="default"/>
      </w:rPr>
    </w:lvl>
    <w:lvl w:ilvl="8" w:tplc="04100005" w:tentative="1">
      <w:start w:val="1"/>
      <w:numFmt w:val="bullet"/>
      <w:lvlText w:val=""/>
      <w:lvlJc w:val="left"/>
      <w:pPr>
        <w:ind w:left="6118" w:hanging="360"/>
      </w:pPr>
      <w:rPr>
        <w:rFonts w:ascii="Wingdings" w:hAnsi="Wingdings" w:hint="default"/>
      </w:rPr>
    </w:lvl>
  </w:abstractNum>
  <w:num w:numId="1" w16cid:durableId="39477488">
    <w:abstractNumId w:val="0"/>
  </w:num>
  <w:num w:numId="2" w16cid:durableId="888955589">
    <w:abstractNumId w:val="1"/>
  </w:num>
  <w:num w:numId="3" w16cid:durableId="1429934734">
    <w:abstractNumId w:val="3"/>
  </w:num>
  <w:num w:numId="4" w16cid:durableId="124541190">
    <w:abstractNumId w:val="4"/>
  </w:num>
  <w:num w:numId="5" w16cid:durableId="3314215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1BF"/>
    <w:rsid w:val="00047FD6"/>
    <w:rsid w:val="001471BF"/>
    <w:rsid w:val="001F4F9C"/>
    <w:rsid w:val="00296E21"/>
    <w:rsid w:val="002A3738"/>
    <w:rsid w:val="00447C03"/>
    <w:rsid w:val="00476F8B"/>
    <w:rsid w:val="0049026C"/>
    <w:rsid w:val="00621004"/>
    <w:rsid w:val="0062650A"/>
    <w:rsid w:val="006A5E4D"/>
    <w:rsid w:val="006B6136"/>
    <w:rsid w:val="006E71EC"/>
    <w:rsid w:val="00796E0E"/>
    <w:rsid w:val="00915BB1"/>
    <w:rsid w:val="00B97904"/>
    <w:rsid w:val="00CA0A45"/>
    <w:rsid w:val="00D027BE"/>
    <w:rsid w:val="00D4412E"/>
    <w:rsid w:val="00D55B22"/>
    <w:rsid w:val="00E4304C"/>
    <w:rsid w:val="00FA4C4B"/>
    <w:rsid w:val="00FE7BB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68CE5"/>
  <w15:docId w15:val="{2D39FD6C-A14A-4445-8BC2-5D8A24F25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line="1" w:lineRule="atLeast"/>
      <w:ind w:leftChars="-1" w:left="-1" w:hangingChars="1" w:hanging="1"/>
      <w:textDirection w:val="btLr"/>
      <w:textAlignment w:val="top"/>
      <w:outlineLvl w:val="0"/>
    </w:pPr>
    <w:rPr>
      <w:rFonts w:ascii="Amerigo BT" w:hAnsi="Amerigo BT"/>
      <w:position w:val="-1"/>
      <w:sz w:val="22"/>
      <w:szCs w:val="22"/>
      <w:lang w:eastAsia="fr-FR"/>
    </w:rPr>
  </w:style>
  <w:style w:type="paragraph" w:styleId="Titolo1">
    <w:name w:val="heading 1"/>
    <w:basedOn w:val="Normale"/>
    <w:next w:val="Normale"/>
    <w:uiPriority w:val="9"/>
    <w:qFormat/>
    <w:pPr>
      <w:keepNext/>
      <w:jc w:val="center"/>
    </w:pPr>
    <w:rPr>
      <w:rFonts w:ascii="Arial" w:hAnsi="Arial" w:cs="Arial"/>
      <w:b/>
      <w:bCs/>
      <w:smallCaps/>
      <w:sz w:val="20"/>
      <w:szCs w:val="20"/>
    </w:rPr>
  </w:style>
  <w:style w:type="paragraph" w:styleId="Titolo2">
    <w:name w:val="heading 2"/>
    <w:basedOn w:val="Normale"/>
    <w:next w:val="Normale"/>
    <w:uiPriority w:val="9"/>
    <w:semiHidden/>
    <w:unhideWhenUsed/>
    <w:qFormat/>
    <w:pPr>
      <w:keepNext/>
      <w:outlineLvl w:val="1"/>
    </w:pPr>
    <w:rPr>
      <w:rFonts w:ascii="Futura Md BT" w:hAnsi="Futura Md BT"/>
      <w:b/>
      <w:bCs/>
      <w:i/>
      <w:iCs/>
      <w:u w:val="single"/>
    </w:rPr>
  </w:style>
  <w:style w:type="paragraph" w:styleId="Titolo3">
    <w:name w:val="heading 3"/>
    <w:basedOn w:val="Normale"/>
    <w:next w:val="Normale"/>
    <w:uiPriority w:val="9"/>
    <w:semiHidden/>
    <w:unhideWhenUsed/>
    <w:qFormat/>
    <w:pPr>
      <w:keepNext/>
      <w:outlineLvl w:val="2"/>
    </w:pPr>
    <w:rPr>
      <w:b/>
      <w:bCs/>
      <w:i/>
      <w:iCs/>
      <w:sz w:val="18"/>
      <w:szCs w:val="18"/>
    </w:rPr>
  </w:style>
  <w:style w:type="paragraph" w:styleId="Titolo4">
    <w:name w:val="heading 4"/>
    <w:basedOn w:val="Normale"/>
    <w:next w:val="Normale"/>
    <w:uiPriority w:val="9"/>
    <w:semiHidden/>
    <w:unhideWhenUsed/>
    <w:qFormat/>
    <w:pPr>
      <w:keepNext/>
      <w:outlineLvl w:val="3"/>
    </w:pPr>
    <w:rPr>
      <w:rFonts w:ascii="Arial" w:hAnsi="Arial" w:cs="Arial"/>
      <w:b/>
      <w:bCs/>
      <w:i/>
      <w:iCs/>
      <w:caps/>
      <w:u w:val="single"/>
    </w:rPr>
  </w:style>
  <w:style w:type="paragraph" w:styleId="Titolo5">
    <w:name w:val="heading 5"/>
    <w:basedOn w:val="Normale"/>
    <w:next w:val="Normale"/>
    <w:uiPriority w:val="9"/>
    <w:semiHidden/>
    <w:unhideWhenUsed/>
    <w:qFormat/>
    <w:pPr>
      <w:keepNext/>
      <w:outlineLvl w:val="4"/>
    </w:pPr>
    <w:rPr>
      <w:rFonts w:ascii="Arial" w:hAnsi="Arial" w:cs="Arial"/>
      <w:b/>
      <w:bCs/>
      <w:i/>
      <w:iCs/>
    </w:rPr>
  </w:style>
  <w:style w:type="paragraph" w:styleId="Titolo6">
    <w:name w:val="heading 6"/>
    <w:basedOn w:val="Normale"/>
    <w:next w:val="Normale"/>
    <w:uiPriority w:val="9"/>
    <w:semiHidden/>
    <w:unhideWhenUsed/>
    <w:qFormat/>
    <w:pPr>
      <w:keepNext/>
      <w:jc w:val="center"/>
      <w:outlineLvl w:val="5"/>
    </w:pPr>
    <w:rPr>
      <w:rFonts w:ascii="Helvetica" w:hAnsi="Helvetica" w:cs="Helvetica"/>
      <w:b/>
      <w:bCs/>
      <w:i/>
      <w:iCs/>
      <w:sz w:val="32"/>
      <w:szCs w:val="32"/>
    </w:rPr>
  </w:style>
  <w:style w:type="paragraph" w:styleId="Titolo7">
    <w:name w:val="heading 7"/>
    <w:basedOn w:val="Normale"/>
    <w:next w:val="Normale"/>
    <w:pPr>
      <w:keepNext/>
      <w:jc w:val="center"/>
      <w:outlineLvl w:val="6"/>
    </w:pPr>
    <w:rPr>
      <w:rFonts w:ascii="Helvetica" w:hAnsi="Helvetica" w:cs="Helvetica"/>
      <w:b/>
      <w:bCs/>
      <w:i/>
      <w:iCs/>
      <w:sz w:val="24"/>
      <w:szCs w:val="24"/>
    </w:rPr>
  </w:style>
  <w:style w:type="paragraph" w:styleId="Titolo8">
    <w:name w:val="heading 8"/>
    <w:basedOn w:val="Normale"/>
    <w:next w:val="Normale"/>
    <w:pPr>
      <w:keepNext/>
      <w:outlineLvl w:val="7"/>
    </w:pPr>
    <w:rPr>
      <w:rFonts w:ascii="Arial" w:hAnsi="Arial" w:cs="Arial"/>
      <w:b/>
      <w:bCs/>
      <w:u w:val="single"/>
    </w:rPr>
  </w:style>
  <w:style w:type="paragraph" w:styleId="Titolo9">
    <w:name w:val="heading 9"/>
    <w:basedOn w:val="Normale"/>
    <w:next w:val="Normale"/>
    <w:pPr>
      <w:keepNext/>
      <w:outlineLvl w:val="8"/>
    </w:pPr>
    <w:rPr>
      <w:b/>
      <w:bC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character" w:customStyle="1" w:styleId="CarpredefinitoparagrafoCarattereCarattereCarattereCarattereCarattereCarattereCarattereCarattere">
    <w:name w:val="Car. predefinito paragrafo;Carattere Carattere Carattere Carattere Carattere Carattere Carattere Carattere"/>
    <w:rPr>
      <w:i/>
      <w:w w:val="100"/>
      <w:position w:val="-1"/>
      <w:sz w:val="24"/>
      <w:szCs w:val="24"/>
      <w:effect w:val="none"/>
      <w:vertAlign w:val="baseline"/>
      <w:cs w:val="0"/>
      <w:em w:val="none"/>
      <w:lang w:val="en-US" w:eastAsia="en-US" w:bidi="ar-SA"/>
    </w:rPr>
  </w:style>
  <w:style w:type="character" w:styleId="Collegamentoipertestuale">
    <w:name w:val="Hyperlink"/>
    <w:rPr>
      <w:i/>
      <w:color w:val="0000FF"/>
      <w:w w:val="100"/>
      <w:position w:val="-1"/>
      <w:sz w:val="24"/>
      <w:szCs w:val="24"/>
      <w:u w:val="single"/>
      <w:effect w:val="none"/>
      <w:vertAlign w:val="baseline"/>
      <w:cs w:val="0"/>
      <w:em w:val="none"/>
      <w:lang w:val="en-US" w:eastAsia="en-US" w:bidi="ar-SA"/>
    </w:rPr>
  </w:style>
  <w:style w:type="paragraph" w:styleId="Intestazione">
    <w:name w:val="header"/>
    <w:basedOn w:val="Normale"/>
    <w:pPr>
      <w:tabs>
        <w:tab w:val="center" w:pos="4536"/>
        <w:tab w:val="right" w:pos="9072"/>
      </w:tabs>
    </w:pPr>
  </w:style>
  <w:style w:type="paragraph" w:styleId="Pidipagina">
    <w:name w:val="footer"/>
    <w:basedOn w:val="Normale"/>
    <w:pPr>
      <w:tabs>
        <w:tab w:val="center" w:pos="4536"/>
        <w:tab w:val="right" w:pos="9072"/>
      </w:tabs>
    </w:pPr>
  </w:style>
  <w:style w:type="paragraph" w:styleId="Corpotesto">
    <w:name w:val="Body Text"/>
    <w:basedOn w:val="Normale"/>
    <w:rPr>
      <w:rFonts w:ascii="Arial" w:hAnsi="Arial"/>
      <w:sz w:val="20"/>
    </w:rPr>
  </w:style>
  <w:style w:type="character" w:styleId="Collegamentovisitato">
    <w:name w:val="FollowedHyperlink"/>
    <w:rPr>
      <w:i/>
      <w:color w:val="800080"/>
      <w:w w:val="100"/>
      <w:position w:val="-1"/>
      <w:sz w:val="24"/>
      <w:szCs w:val="24"/>
      <w:u w:val="single"/>
      <w:effect w:val="none"/>
      <w:vertAlign w:val="baseline"/>
      <w:cs w:val="0"/>
      <w:em w:val="none"/>
      <w:lang w:val="en-US" w:eastAsia="en-US" w:bidi="ar-SA"/>
    </w:rPr>
  </w:style>
  <w:style w:type="paragraph" w:customStyle="1" w:styleId="CarattereCarattereCarattereCarattereCarattereCarattere">
    <w:name w:val="Carattere Carattere Carattere Carattere Carattere Carattere"/>
    <w:basedOn w:val="Normale"/>
    <w:pPr>
      <w:numPr>
        <w:numId w:val="1"/>
      </w:numPr>
      <w:spacing w:after="160" w:line="240" w:lineRule="atLeast"/>
      <w:ind w:left="-1" w:hanging="1"/>
    </w:pPr>
    <w:rPr>
      <w:rFonts w:ascii="Times New Roman" w:hAnsi="Times New Roman"/>
      <w:i/>
      <w:sz w:val="24"/>
      <w:szCs w:val="24"/>
      <w:lang w:val="en-US" w:eastAsia="en-US"/>
    </w:rPr>
  </w:style>
  <w:style w:type="paragraph" w:styleId="NormaleWeb">
    <w:name w:val="Normal (Web)"/>
    <w:basedOn w:val="Normale"/>
    <w:uiPriority w:val="99"/>
    <w:pPr>
      <w:spacing w:before="100" w:beforeAutospacing="1" w:after="100" w:afterAutospacing="1" w:line="270" w:lineRule="atLeast"/>
    </w:pPr>
    <w:rPr>
      <w:rFonts w:ascii="Verdana" w:eastAsia="Arial Unicode MS" w:hAnsi="Verdana" w:cs="Arial Unicode MS"/>
      <w:color w:val="990033"/>
      <w:sz w:val="18"/>
      <w:szCs w:val="18"/>
      <w:lang w:val="it-IT" w:eastAsia="it-IT"/>
    </w:rPr>
  </w:style>
  <w:style w:type="paragraph" w:styleId="Testonotaapidipagina">
    <w:name w:val="footnote text"/>
    <w:basedOn w:val="Normale"/>
    <w:rPr>
      <w:sz w:val="20"/>
      <w:szCs w:val="20"/>
    </w:rPr>
  </w:style>
  <w:style w:type="character" w:styleId="Numeropagina">
    <w:name w:val="page number"/>
    <w:basedOn w:val="CarpredefinitoparagrafoCarattereCarattereCarattereCarattereCarattereCarattereCarattereCarattere"/>
    <w:rPr>
      <w:i/>
      <w:w w:val="100"/>
      <w:position w:val="-1"/>
      <w:sz w:val="24"/>
      <w:szCs w:val="24"/>
      <w:effect w:val="none"/>
      <w:vertAlign w:val="baseline"/>
      <w:cs w:val="0"/>
      <w:em w:val="none"/>
      <w:lang w:val="en-US" w:eastAsia="en-US" w:bidi="ar-SA"/>
    </w:rPr>
  </w:style>
  <w:style w:type="paragraph" w:styleId="Testofumetto">
    <w:name w:val="Balloon Text"/>
    <w:basedOn w:val="Normale"/>
    <w:rPr>
      <w:rFonts w:ascii="Tahoma" w:hAnsi="Tahoma" w:cs="Tahoma"/>
      <w:sz w:val="16"/>
      <w:szCs w:val="16"/>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character" w:styleId="Menzionenonrisolta">
    <w:name w:val="Unresolved Mention"/>
    <w:basedOn w:val="Carpredefinitoparagrafo"/>
    <w:uiPriority w:val="99"/>
    <w:semiHidden/>
    <w:unhideWhenUsed/>
    <w:rsid w:val="00CA0A45"/>
    <w:rPr>
      <w:color w:val="605E5C"/>
      <w:shd w:val="clear" w:color="auto" w:fill="E1DFDD"/>
    </w:rPr>
  </w:style>
  <w:style w:type="paragraph" w:styleId="Paragrafoelenco">
    <w:name w:val="List Paragraph"/>
    <w:basedOn w:val="Normale"/>
    <w:uiPriority w:val="34"/>
    <w:qFormat/>
    <w:rsid w:val="00047F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165843">
      <w:bodyDiv w:val="1"/>
      <w:marLeft w:val="0"/>
      <w:marRight w:val="0"/>
      <w:marTop w:val="0"/>
      <w:marBottom w:val="0"/>
      <w:divBdr>
        <w:top w:val="none" w:sz="0" w:space="0" w:color="auto"/>
        <w:left w:val="none" w:sz="0" w:space="0" w:color="auto"/>
        <w:bottom w:val="none" w:sz="0" w:space="0" w:color="auto"/>
        <w:right w:val="none" w:sz="0" w:space="0" w:color="auto"/>
      </w:divBdr>
    </w:div>
    <w:div w:id="12712747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apre.it/privacy-policy-apre-(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GE0Rh1HsAvEqVySa2vGTT/3Lsw==">CgMxLjAyCWlkLmdqZGd4czgAciExVmctYl9HUTVaMUlXSmRCaWFSSjJaYUJLaTdJUWJfX1c=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3</Pages>
  <Words>930</Words>
  <Characters>6672</Characters>
  <Application>Microsoft Office Word</Application>
  <DocSecurity>0</DocSecurity>
  <Lines>155</Lines>
  <Paragraphs>77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riedl</dc:creator>
  <cp:lastModifiedBy>Francesco Neri</cp:lastModifiedBy>
  <cp:revision>8</cp:revision>
  <dcterms:created xsi:type="dcterms:W3CDTF">2025-06-16T10:20:00Z</dcterms:created>
  <dcterms:modified xsi:type="dcterms:W3CDTF">2026-09-10T08:24:00Z</dcterms:modified>
</cp:coreProperties>
</file>